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5E9D83" w14:textId="4971F6E5" w:rsidR="00736475" w:rsidRDefault="00736475" w:rsidP="0073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color w:val="0000FF"/>
          <w:lang w:val="en-US" w:eastAsia="pt-PT"/>
        </w:rPr>
      </w:pPr>
      <w:r>
        <w:rPr>
          <w:rFonts w:cs="Arial"/>
          <w:color w:val="0000FF"/>
          <w:lang w:val="en-US" w:eastAsia="pt-PT"/>
        </w:rPr>
        <w:t>Please see manuscript below (Page 4)</w:t>
      </w:r>
    </w:p>
    <w:p w14:paraId="24CD5274" w14:textId="77777777" w:rsidR="00736475" w:rsidRDefault="00736475" w:rsidP="0073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b/>
          <w:color w:val="0000FF"/>
          <w:lang w:val="en-US" w:eastAsia="pt-PT"/>
        </w:rPr>
      </w:pPr>
    </w:p>
    <w:p w14:paraId="73E0F7E4" w14:textId="77777777" w:rsidR="00736475" w:rsidRPr="003D13D3" w:rsidRDefault="00736475" w:rsidP="0073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b/>
          <w:color w:val="0000FF"/>
          <w:lang w:val="en-US" w:eastAsia="pt-PT"/>
        </w:rPr>
      </w:pPr>
      <w:r w:rsidRPr="003D13D3">
        <w:rPr>
          <w:rFonts w:cs="Arial"/>
          <w:b/>
          <w:color w:val="0000FF"/>
          <w:lang w:val="en-US" w:eastAsia="pt-PT"/>
        </w:rPr>
        <w:t xml:space="preserve">Answers to reviewers comments </w:t>
      </w:r>
    </w:p>
    <w:p w14:paraId="1892D82C" w14:textId="77777777" w:rsidR="00736475" w:rsidRPr="009D4657" w:rsidRDefault="00736475" w:rsidP="0073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color w:val="0000FF"/>
          <w:lang w:val="en-US" w:eastAsia="pt-PT"/>
        </w:rPr>
      </w:pPr>
      <w:r w:rsidRPr="009D4657">
        <w:rPr>
          <w:rFonts w:cs="Arial"/>
          <w:color w:val="0000FF"/>
          <w:lang w:val="en-US" w:eastAsia="pt-PT"/>
        </w:rPr>
        <w:t>The authors wish to thank the reviewers for their constructive comments and suggestions. The authors addressed all remarks and the suggested changes were included in the manuscript, marked in green in the revised manuscript.</w:t>
      </w:r>
    </w:p>
    <w:p w14:paraId="547BCAA7" w14:textId="77777777" w:rsidR="00736475" w:rsidRPr="00C02300" w:rsidRDefault="00736475" w:rsidP="0073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color w:val="000000"/>
          <w:lang w:val="en-US" w:eastAsia="pt-PT"/>
        </w:rPr>
      </w:pPr>
    </w:p>
    <w:p w14:paraId="2C1A4B20" w14:textId="77777777" w:rsidR="00736475" w:rsidRPr="00C02300" w:rsidRDefault="00736475" w:rsidP="0073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color w:val="000000"/>
          <w:lang w:val="en-US" w:eastAsia="pt-PT"/>
        </w:rPr>
      </w:pPr>
      <w:r w:rsidRPr="00C02300">
        <w:rPr>
          <w:rFonts w:cs="Arial"/>
          <w:color w:val="000000"/>
          <w:lang w:val="en-US" w:eastAsia="pt-PT"/>
        </w:rPr>
        <w:t>Comments by reviewer</w:t>
      </w:r>
    </w:p>
    <w:p w14:paraId="07C0D808" w14:textId="77777777" w:rsidR="00736475" w:rsidRPr="00C02300" w:rsidRDefault="00736475" w:rsidP="0073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color w:val="000000"/>
          <w:lang w:val="en-US" w:eastAsia="pt-PT"/>
        </w:rPr>
      </w:pPr>
      <w:r w:rsidRPr="00C02300">
        <w:rPr>
          <w:rFonts w:cs="Arial"/>
          <w:color w:val="000000"/>
          <w:lang w:val="en-US" w:eastAsia="pt-PT"/>
        </w:rPr>
        <w:t>.......</w:t>
      </w:r>
    </w:p>
    <w:p w14:paraId="0C2C5060" w14:textId="77777777" w:rsidR="00736475" w:rsidRPr="00C02300" w:rsidRDefault="00736475" w:rsidP="0073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color w:val="000000"/>
          <w:lang w:val="en-US" w:eastAsia="pt-PT"/>
        </w:rPr>
      </w:pPr>
      <w:r w:rsidRPr="00C02300">
        <w:rPr>
          <w:rFonts w:cs="Arial"/>
          <w:color w:val="000000"/>
          <w:lang w:val="en-US" w:eastAsia="pt-PT"/>
        </w:rPr>
        <w:t xml:space="preserve">The manuscript explores the </w:t>
      </w:r>
      <w:r w:rsidRPr="00C02300">
        <w:rPr>
          <w:rFonts w:cs="Arial"/>
          <w:i/>
          <w:color w:val="000000"/>
          <w:lang w:val="en-US" w:eastAsia="pt-PT"/>
        </w:rPr>
        <w:t>Cypthecodinium cohni</w:t>
      </w:r>
      <w:r w:rsidRPr="00C02300">
        <w:rPr>
          <w:rFonts w:cs="Arial"/>
          <w:color w:val="000000"/>
          <w:lang w:val="en-US" w:eastAsia="pt-PT"/>
        </w:rPr>
        <w:t xml:space="preserve"> lipid fractionation with urea complexes to obtain a PUFA rich fraction and another lipid fraction to be used for biodiesel purposes. The manuscript is overall of interest, even if in some traits it may be improved (especially the language).</w:t>
      </w:r>
    </w:p>
    <w:p w14:paraId="1B141F76" w14:textId="77777777" w:rsidR="00736475" w:rsidRPr="00C02300" w:rsidRDefault="00736475" w:rsidP="0073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b/>
          <w:color w:val="000000"/>
          <w:lang w:val="en-US" w:eastAsia="pt-PT"/>
        </w:rPr>
      </w:pPr>
      <w:r w:rsidRPr="00C02300">
        <w:rPr>
          <w:rFonts w:cs="Arial"/>
          <w:b/>
          <w:color w:val="000000"/>
          <w:lang w:val="en-US" w:eastAsia="pt-PT"/>
        </w:rPr>
        <w:t>Please correct at the end of Introduction:</w:t>
      </w:r>
    </w:p>
    <w:p w14:paraId="6E07A843" w14:textId="77777777" w:rsidR="00736475" w:rsidRPr="00087183" w:rsidRDefault="00736475" w:rsidP="0073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b/>
          <w:color w:val="000000"/>
          <w:lang w:val="en-US" w:eastAsia="pt-PT"/>
        </w:rPr>
      </w:pPr>
      <w:r w:rsidRPr="00C02300">
        <w:rPr>
          <w:rFonts w:cs="Arial"/>
          <w:b/>
          <w:color w:val="000000"/>
          <w:lang w:val="en-US" w:eastAsia="pt-PT"/>
        </w:rPr>
        <w:t>"It is known that the crystallization temperature strongly INFLUENCE(S) the efficiency of DHA purification process"</w:t>
      </w:r>
    </w:p>
    <w:p w14:paraId="36CF0D99" w14:textId="77777777" w:rsidR="00736475" w:rsidRPr="009D4657" w:rsidRDefault="00736475" w:rsidP="0073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color w:val="0000FF"/>
          <w:lang w:val="en-US" w:eastAsia="pt-PT"/>
        </w:rPr>
      </w:pPr>
      <w:r w:rsidRPr="009D4657">
        <w:rPr>
          <w:rFonts w:cs="Arial"/>
          <w:color w:val="0000FF"/>
          <w:lang w:val="en-US" w:eastAsia="pt-PT"/>
        </w:rPr>
        <w:t>- Corrected as suggested.</w:t>
      </w:r>
    </w:p>
    <w:p w14:paraId="404978C7" w14:textId="77777777" w:rsidR="00736475" w:rsidRPr="00736EF4" w:rsidRDefault="00736475" w:rsidP="0073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color w:val="000000"/>
          <w:lang w:val="en-US" w:eastAsia="pt-PT"/>
        </w:rPr>
      </w:pPr>
    </w:p>
    <w:p w14:paraId="5DAB4E19" w14:textId="77777777" w:rsidR="00736475" w:rsidRPr="00C02300" w:rsidRDefault="00736475" w:rsidP="0073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b/>
          <w:color w:val="000000"/>
          <w:lang w:val="en-US" w:eastAsia="pt-PT"/>
        </w:rPr>
      </w:pPr>
      <w:r w:rsidRPr="00C02300">
        <w:rPr>
          <w:rFonts w:cs="Arial"/>
          <w:b/>
          <w:color w:val="000000"/>
          <w:lang w:val="en-US" w:eastAsia="pt-PT"/>
        </w:rPr>
        <w:t>Please rephrase the conclusion.</w:t>
      </w:r>
    </w:p>
    <w:p w14:paraId="0FDFECD4" w14:textId="77777777" w:rsidR="00736475" w:rsidRPr="00C02300" w:rsidRDefault="00736475" w:rsidP="0073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b/>
          <w:color w:val="000000"/>
          <w:lang w:val="en-US" w:eastAsia="pt-PT"/>
        </w:rPr>
      </w:pPr>
      <w:r w:rsidRPr="00C02300">
        <w:rPr>
          <w:rFonts w:cs="Arial"/>
          <w:b/>
          <w:color w:val="000000"/>
          <w:lang w:val="en-US" w:eastAsia="pt-PT"/>
        </w:rPr>
        <w:t>It is not well explained which are the main results of your work.</w:t>
      </w:r>
    </w:p>
    <w:p w14:paraId="1C8D2908" w14:textId="77777777" w:rsidR="00736475" w:rsidRPr="009D4657" w:rsidRDefault="00736475" w:rsidP="0073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color w:val="0000FF"/>
          <w:lang w:val="en-US" w:eastAsia="pt-PT"/>
        </w:rPr>
      </w:pPr>
      <w:r w:rsidRPr="009D4657">
        <w:rPr>
          <w:rFonts w:cs="Arial"/>
          <w:color w:val="0000FF"/>
          <w:lang w:val="en-US" w:eastAsia="pt-PT"/>
        </w:rPr>
        <w:t>- The conclusion was rephrased and the main result was highlighted.</w:t>
      </w:r>
    </w:p>
    <w:p w14:paraId="6E6BCB3B" w14:textId="77777777" w:rsidR="00736475" w:rsidRPr="00736EF4" w:rsidRDefault="00736475" w:rsidP="0073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color w:val="000000"/>
          <w:lang w:val="en-US" w:eastAsia="pt-PT"/>
        </w:rPr>
      </w:pPr>
    </w:p>
    <w:p w14:paraId="38608088" w14:textId="77777777" w:rsidR="00736475" w:rsidRPr="00736EF4" w:rsidRDefault="00736475" w:rsidP="0073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color w:val="000000"/>
          <w:lang w:val="en-US" w:eastAsia="pt-PT"/>
        </w:rPr>
      </w:pPr>
      <w:r w:rsidRPr="00736EF4">
        <w:rPr>
          <w:rFonts w:cs="Arial"/>
          <w:color w:val="000000"/>
          <w:lang w:val="en-US" w:eastAsia="pt-PT"/>
        </w:rPr>
        <w:t>iN THIS PAPER polyunsaturated fatty acid and other lipid fraction are extracted from</w:t>
      </w:r>
    </w:p>
    <w:p w14:paraId="692FC309" w14:textId="77777777" w:rsidR="00736475" w:rsidRPr="00736EF4" w:rsidRDefault="00736475" w:rsidP="0073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color w:val="000000"/>
          <w:lang w:val="en-US" w:eastAsia="pt-PT"/>
        </w:rPr>
      </w:pPr>
      <w:r w:rsidRPr="00736EF4">
        <w:rPr>
          <w:rFonts w:cs="Arial"/>
          <w:color w:val="000000"/>
          <w:lang w:val="en-US" w:eastAsia="pt-PT"/>
        </w:rPr>
        <w:t>Cypthecodinium cohni lipid fractionation with urea complexes.</w:t>
      </w:r>
    </w:p>
    <w:p w14:paraId="685A241B" w14:textId="77777777" w:rsidR="00736475" w:rsidRPr="00736EF4" w:rsidRDefault="00736475" w:rsidP="0073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color w:val="000000"/>
          <w:lang w:val="en-US" w:eastAsia="pt-PT"/>
        </w:rPr>
      </w:pPr>
      <w:r w:rsidRPr="00736EF4">
        <w:rPr>
          <w:rFonts w:cs="Arial"/>
          <w:color w:val="000000"/>
          <w:lang w:val="en-US" w:eastAsia="pt-PT"/>
        </w:rPr>
        <w:t>The paper is clear and easy to follow. A lot of details are provided in each step of the description,</w:t>
      </w:r>
      <w:r>
        <w:rPr>
          <w:rFonts w:cs="Arial"/>
          <w:color w:val="000000"/>
          <w:lang w:val="en-US" w:eastAsia="pt-PT"/>
        </w:rPr>
        <w:t xml:space="preserve"> </w:t>
      </w:r>
      <w:r w:rsidRPr="00736EF4">
        <w:rPr>
          <w:rFonts w:cs="Arial"/>
          <w:color w:val="000000"/>
          <w:lang w:val="en-US" w:eastAsia="pt-PT"/>
        </w:rPr>
        <w:t>probably too many. I have some minor rev</w:t>
      </w:r>
      <w:r>
        <w:rPr>
          <w:rFonts w:cs="Arial"/>
          <w:color w:val="000000"/>
          <w:lang w:val="en-US" w:eastAsia="pt-PT"/>
        </w:rPr>
        <w:t xml:space="preserve">isons related to grammar errors </w:t>
      </w:r>
      <w:r w:rsidRPr="00736EF4">
        <w:rPr>
          <w:rFonts w:cs="Arial"/>
          <w:color w:val="000000"/>
          <w:lang w:val="en-US" w:eastAsia="pt-PT"/>
        </w:rPr>
        <w:t>and formatting style.</w:t>
      </w:r>
    </w:p>
    <w:p w14:paraId="652818F7" w14:textId="77777777" w:rsidR="00736475" w:rsidRPr="00736EF4" w:rsidRDefault="00736475" w:rsidP="0073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color w:val="000000"/>
          <w:lang w:val="en-US" w:eastAsia="pt-PT"/>
        </w:rPr>
      </w:pPr>
    </w:p>
    <w:p w14:paraId="4E52B0EB" w14:textId="77777777" w:rsidR="00736475" w:rsidRPr="00C02300" w:rsidRDefault="00736475" w:rsidP="0073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color w:val="000000"/>
          <w:lang w:val="en-US" w:eastAsia="pt-PT"/>
        </w:rPr>
      </w:pPr>
      <w:r w:rsidRPr="00C02300">
        <w:rPr>
          <w:rFonts w:cs="Arial"/>
          <w:color w:val="000000"/>
          <w:lang w:val="en-US" w:eastAsia="pt-PT"/>
        </w:rPr>
        <w:t>Title:</w:t>
      </w:r>
    </w:p>
    <w:p w14:paraId="555A0482" w14:textId="77777777" w:rsidR="00736475" w:rsidRPr="00C02300" w:rsidRDefault="00736475" w:rsidP="0073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b/>
          <w:color w:val="000000"/>
          <w:lang w:val="en-US" w:eastAsia="pt-PT"/>
        </w:rPr>
      </w:pPr>
      <w:r w:rsidRPr="00C02300">
        <w:rPr>
          <w:rFonts w:cs="Arial"/>
          <w:b/>
          <w:color w:val="000000"/>
          <w:lang w:val="en-US" w:eastAsia="pt-PT"/>
        </w:rPr>
        <w:t>write with Capital format</w:t>
      </w:r>
    </w:p>
    <w:p w14:paraId="796BC098" w14:textId="77777777" w:rsidR="00736475" w:rsidRPr="00C02300" w:rsidRDefault="00736475" w:rsidP="0073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color w:val="000000"/>
          <w:lang w:val="en-US" w:eastAsia="pt-PT"/>
        </w:rPr>
      </w:pPr>
      <w:r w:rsidRPr="00C02300">
        <w:rPr>
          <w:rFonts w:cs="Arial"/>
          <w:color w:val="000000"/>
          <w:lang w:val="en-US" w:eastAsia="pt-PT"/>
        </w:rPr>
        <w:t>Crypthecodinium Cohnii Lipid Fractionation for the Simultaneous DHA and Biodiesel Production</w:t>
      </w:r>
    </w:p>
    <w:p w14:paraId="35C89176" w14:textId="77777777" w:rsidR="00736475" w:rsidRPr="009D4657" w:rsidRDefault="00736475" w:rsidP="0073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color w:val="0000FF"/>
          <w:lang w:val="en-US" w:eastAsia="pt-PT"/>
        </w:rPr>
      </w:pPr>
      <w:r w:rsidRPr="009D4657">
        <w:rPr>
          <w:rFonts w:cs="Arial"/>
          <w:color w:val="0000FF"/>
          <w:lang w:val="en-US" w:eastAsia="pt-PT"/>
        </w:rPr>
        <w:t>- The title was corrected to capital format</w:t>
      </w:r>
    </w:p>
    <w:p w14:paraId="6A813AA6" w14:textId="77777777" w:rsidR="00736475" w:rsidRPr="00C02300" w:rsidRDefault="00736475" w:rsidP="0073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b/>
          <w:color w:val="000000"/>
          <w:lang w:val="en-US" w:eastAsia="pt-PT"/>
        </w:rPr>
      </w:pPr>
    </w:p>
    <w:p w14:paraId="7AB3E9E3" w14:textId="77777777" w:rsidR="00736475" w:rsidRPr="00C02300" w:rsidRDefault="00736475" w:rsidP="0073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b/>
          <w:color w:val="000000"/>
          <w:lang w:val="en-US" w:eastAsia="pt-PT"/>
        </w:rPr>
      </w:pPr>
      <w:r w:rsidRPr="00C02300">
        <w:rPr>
          <w:rFonts w:cs="Arial"/>
          <w:b/>
          <w:color w:val="000000"/>
          <w:lang w:val="en-US" w:eastAsia="pt-PT"/>
        </w:rPr>
        <w:t>Abstract</w:t>
      </w:r>
    </w:p>
    <w:p w14:paraId="6320A5C5" w14:textId="77777777" w:rsidR="00736475" w:rsidRPr="00C02300" w:rsidRDefault="00736475" w:rsidP="0073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b/>
          <w:color w:val="000000"/>
          <w:lang w:val="en-US" w:eastAsia="pt-PT"/>
        </w:rPr>
      </w:pPr>
      <w:r w:rsidRPr="00C02300">
        <w:rPr>
          <w:rFonts w:cs="Arial"/>
          <w:b/>
          <w:color w:val="000000"/>
          <w:lang w:val="en-US" w:eastAsia="pt-PT"/>
        </w:rPr>
        <w:t>most promising source(s) of high</w:t>
      </w:r>
    </w:p>
    <w:p w14:paraId="76845D97" w14:textId="77777777" w:rsidR="00736475" w:rsidRPr="00C02300" w:rsidRDefault="00736475" w:rsidP="0073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b/>
          <w:color w:val="000000"/>
          <w:lang w:val="en-US" w:eastAsia="pt-PT"/>
        </w:rPr>
      </w:pPr>
      <w:r w:rsidRPr="00C02300">
        <w:rPr>
          <w:rFonts w:cs="Arial"/>
          <w:b/>
          <w:color w:val="000000"/>
          <w:lang w:val="en-US" w:eastAsia="pt-PT"/>
        </w:rPr>
        <w:t>on this matter only valorize(s??)</w:t>
      </w:r>
    </w:p>
    <w:p w14:paraId="4F0760B1" w14:textId="77777777" w:rsidR="00736475" w:rsidRPr="009D4657" w:rsidRDefault="00736475" w:rsidP="0073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color w:val="0000FF"/>
          <w:lang w:val="en-US" w:eastAsia="pt-PT"/>
        </w:rPr>
      </w:pPr>
      <w:r w:rsidRPr="009D4657">
        <w:rPr>
          <w:rFonts w:cs="Arial"/>
          <w:color w:val="0000FF"/>
          <w:lang w:val="en-US" w:eastAsia="pt-PT"/>
        </w:rPr>
        <w:t>- Corrected as suggested</w:t>
      </w:r>
    </w:p>
    <w:p w14:paraId="6915436F" w14:textId="77777777" w:rsidR="00736475" w:rsidRPr="00C02300" w:rsidRDefault="00736475" w:rsidP="0073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b/>
          <w:color w:val="000000"/>
          <w:lang w:val="en-US" w:eastAsia="pt-PT"/>
        </w:rPr>
      </w:pPr>
    </w:p>
    <w:p w14:paraId="6FC8F10F" w14:textId="77777777" w:rsidR="00736475" w:rsidRPr="00C02300" w:rsidRDefault="00736475" w:rsidP="0073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b/>
          <w:color w:val="000000"/>
          <w:lang w:val="en-US" w:eastAsia="pt-PT"/>
        </w:rPr>
      </w:pPr>
      <w:r w:rsidRPr="00C02300">
        <w:rPr>
          <w:rFonts w:cs="Arial"/>
          <w:b/>
          <w:color w:val="000000"/>
          <w:lang w:val="en-US" w:eastAsia="pt-PT"/>
        </w:rPr>
        <w:t>Introduction</w:t>
      </w:r>
    </w:p>
    <w:p w14:paraId="0AD4B055" w14:textId="77777777" w:rsidR="00736475" w:rsidRPr="00C02300" w:rsidRDefault="00736475" w:rsidP="0073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b/>
          <w:color w:val="000000"/>
          <w:lang w:val="en-US" w:eastAsia="pt-PT"/>
        </w:rPr>
      </w:pPr>
      <w:r w:rsidRPr="00C02300">
        <w:rPr>
          <w:rFonts w:cs="Arial"/>
          <w:b/>
          <w:color w:val="000000"/>
          <w:lang w:val="en-US" w:eastAsia="pt-PT"/>
        </w:rPr>
        <w:t>a marine heterotrophic microalga(e???)</w:t>
      </w:r>
    </w:p>
    <w:p w14:paraId="1C7D654D" w14:textId="77777777" w:rsidR="00736475" w:rsidRPr="00C02300" w:rsidRDefault="00736475" w:rsidP="0073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color w:val="000000"/>
          <w:lang w:val="en-US" w:eastAsia="pt-PT"/>
        </w:rPr>
      </w:pPr>
      <w:r w:rsidRPr="00C02300">
        <w:rPr>
          <w:rFonts w:cs="Arial"/>
          <w:color w:val="000000"/>
          <w:lang w:val="en-US" w:eastAsia="pt-PT"/>
        </w:rPr>
        <w:t xml:space="preserve">- </w:t>
      </w:r>
      <w:r w:rsidRPr="009D4657">
        <w:rPr>
          <w:rFonts w:cs="Arial"/>
          <w:color w:val="0000FF"/>
          <w:lang w:val="en-US" w:eastAsia="pt-PT"/>
        </w:rPr>
        <w:t>In this sentence is intended to use the singular form of microalgae which is microalga.</w:t>
      </w:r>
    </w:p>
    <w:p w14:paraId="11A40C33" w14:textId="77777777" w:rsidR="00736475" w:rsidRPr="00C02300" w:rsidRDefault="00736475" w:rsidP="0073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color w:val="000000"/>
          <w:lang w:val="en-US" w:eastAsia="pt-PT"/>
        </w:rPr>
      </w:pPr>
    </w:p>
    <w:p w14:paraId="5D74B01B" w14:textId="77777777" w:rsidR="00736475" w:rsidRPr="00C02300" w:rsidRDefault="00736475" w:rsidP="0073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b/>
          <w:color w:val="000000"/>
          <w:lang w:val="en-US" w:eastAsia="pt-PT"/>
        </w:rPr>
      </w:pPr>
      <w:r w:rsidRPr="00C02300">
        <w:rPr>
          <w:rFonts w:cs="Arial"/>
          <w:b/>
          <w:color w:val="000000"/>
          <w:lang w:val="en-US" w:eastAsia="pt-PT"/>
        </w:rPr>
        <w:t>The cells can be found in two different forms: motile, swimming cells, and cysts (Figure 1).</w:t>
      </w:r>
    </w:p>
    <w:p w14:paraId="6094E2C2" w14:textId="77777777" w:rsidR="00736475" w:rsidRPr="00C02300" w:rsidRDefault="00736475" w:rsidP="0073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b/>
          <w:color w:val="000000"/>
          <w:lang w:val="en-US" w:eastAsia="pt-PT"/>
        </w:rPr>
      </w:pPr>
      <w:r w:rsidRPr="00C02300">
        <w:rPr>
          <w:rFonts w:cs="Arial"/>
          <w:b/>
          <w:color w:val="000000"/>
          <w:lang w:val="en-US" w:eastAsia="pt-PT"/>
        </w:rPr>
        <w:t>Can you indicate them in the figure 1?</w:t>
      </w:r>
    </w:p>
    <w:p w14:paraId="4ACC1C58" w14:textId="77777777" w:rsidR="00736475" w:rsidRPr="009D4657" w:rsidRDefault="00736475" w:rsidP="0073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color w:val="0000FF"/>
          <w:lang w:val="en-US" w:eastAsia="pt-PT"/>
        </w:rPr>
      </w:pPr>
      <w:r w:rsidRPr="009D4657">
        <w:rPr>
          <w:rFonts w:cs="Arial"/>
          <w:color w:val="0000FF"/>
          <w:lang w:val="en-US" w:eastAsia="pt-PT"/>
        </w:rPr>
        <w:lastRenderedPageBreak/>
        <w:t xml:space="preserve">The </w:t>
      </w:r>
      <w:r w:rsidRPr="009D4657">
        <w:rPr>
          <w:rFonts w:cs="Arial"/>
          <w:color w:val="0000FF"/>
          <w:sz w:val="21"/>
          <w:szCs w:val="21"/>
          <w:shd w:val="clear" w:color="auto" w:fill="FFFFFF"/>
          <w:lang w:val="en-US"/>
        </w:rPr>
        <w:t>magnification used in</w:t>
      </w:r>
      <w:r w:rsidRPr="009D4657">
        <w:rPr>
          <w:rFonts w:cs="Arial"/>
          <w:color w:val="0000FF"/>
          <w:lang w:val="en-US" w:eastAsia="pt-PT"/>
        </w:rPr>
        <w:t xml:space="preserve"> figure 1 does not allow to see the referred structures. The sentence was rephrased and morphologic structures were deleted from the text.</w:t>
      </w:r>
    </w:p>
    <w:p w14:paraId="13683D14" w14:textId="77777777" w:rsidR="00736475" w:rsidRPr="00C02300" w:rsidRDefault="00736475" w:rsidP="0073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color w:val="000000"/>
          <w:lang w:val="en-US" w:eastAsia="pt-PT"/>
        </w:rPr>
      </w:pPr>
    </w:p>
    <w:p w14:paraId="20FBEB54" w14:textId="77777777" w:rsidR="00736475" w:rsidRPr="00C02300" w:rsidRDefault="00736475" w:rsidP="0073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b/>
          <w:color w:val="000000"/>
          <w:lang w:val="en-US" w:eastAsia="pt-PT"/>
        </w:rPr>
      </w:pPr>
      <w:r w:rsidRPr="00C02300">
        <w:rPr>
          <w:rFonts w:cs="Arial"/>
          <w:b/>
          <w:color w:val="000000"/>
          <w:lang w:val="en-US" w:eastAsia="pt-PT"/>
        </w:rPr>
        <w:t>One promising alternative consist(s)</w:t>
      </w:r>
    </w:p>
    <w:p w14:paraId="7B7FBECB" w14:textId="77777777" w:rsidR="00736475" w:rsidRPr="00361F8B" w:rsidRDefault="00736475" w:rsidP="0073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b/>
          <w:color w:val="000000"/>
          <w:lang w:val="en-US" w:eastAsia="pt-PT"/>
        </w:rPr>
      </w:pPr>
      <w:r w:rsidRPr="00C02300">
        <w:rPr>
          <w:rFonts w:cs="Arial"/>
          <w:b/>
          <w:color w:val="000000"/>
          <w:lang w:val="en-US" w:eastAsia="pt-PT"/>
        </w:rPr>
        <w:t>crystallization temperature strongly influence(s)</w:t>
      </w:r>
    </w:p>
    <w:p w14:paraId="6EC7644F" w14:textId="77777777" w:rsidR="00736475" w:rsidRPr="009D4657" w:rsidRDefault="00736475" w:rsidP="0073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color w:val="0000FF"/>
          <w:lang w:val="en-US" w:eastAsia="pt-PT"/>
        </w:rPr>
      </w:pPr>
      <w:r w:rsidRPr="009D4657">
        <w:rPr>
          <w:rFonts w:cs="Arial"/>
          <w:color w:val="0000FF"/>
          <w:lang w:val="en-US" w:eastAsia="pt-PT"/>
        </w:rPr>
        <w:t>- Corrected as suggested</w:t>
      </w:r>
    </w:p>
    <w:p w14:paraId="7260208F" w14:textId="77777777" w:rsidR="00736475" w:rsidRPr="00736EF4" w:rsidRDefault="00736475" w:rsidP="0073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color w:val="000000"/>
          <w:lang w:val="en-US" w:eastAsia="pt-PT"/>
        </w:rPr>
      </w:pPr>
    </w:p>
    <w:p w14:paraId="6CCE0382" w14:textId="77777777" w:rsidR="00736475" w:rsidRPr="002F50D1" w:rsidRDefault="00736475" w:rsidP="0073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color w:val="000000"/>
          <w:lang w:val="en-US" w:eastAsia="pt-PT"/>
        </w:rPr>
      </w:pPr>
      <w:r w:rsidRPr="002F50D1">
        <w:rPr>
          <w:rFonts w:cs="Arial"/>
          <w:color w:val="000000"/>
          <w:lang w:val="en-US" w:eastAsia="pt-PT"/>
        </w:rPr>
        <w:t>2.1 Growth conditions</w:t>
      </w:r>
    </w:p>
    <w:p w14:paraId="36699248" w14:textId="77777777" w:rsidR="00736475" w:rsidRPr="002F50D1" w:rsidRDefault="00736475" w:rsidP="0073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b/>
          <w:color w:val="000000"/>
          <w:lang w:val="en-US" w:eastAsia="pt-PT"/>
        </w:rPr>
      </w:pPr>
      <w:r w:rsidRPr="002F50D1">
        <w:rPr>
          <w:rFonts w:cs="Arial"/>
          <w:b/>
          <w:color w:val="000000"/>
          <w:lang w:val="en-US" w:eastAsia="pt-PT"/>
        </w:rPr>
        <w:t>by centrifugation at 9000 (g??) using a Sigma centrifuge</w:t>
      </w:r>
    </w:p>
    <w:p w14:paraId="0B1D97F8" w14:textId="77777777" w:rsidR="00736475" w:rsidRPr="009D4657" w:rsidRDefault="00736475" w:rsidP="0073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color w:val="0000FF"/>
          <w:lang w:val="en-US" w:eastAsia="pt-PT"/>
        </w:rPr>
      </w:pPr>
      <w:r w:rsidRPr="009D4657">
        <w:rPr>
          <w:rFonts w:cs="Arial"/>
          <w:color w:val="0000FF"/>
          <w:lang w:val="en-US" w:eastAsia="pt-PT"/>
        </w:rPr>
        <w:t>- It was changed to rpm</w:t>
      </w:r>
    </w:p>
    <w:p w14:paraId="095BC756" w14:textId="77777777" w:rsidR="00736475" w:rsidRPr="002F50D1" w:rsidRDefault="00736475" w:rsidP="0073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color w:val="000000"/>
          <w:lang w:val="en-US" w:eastAsia="pt-PT"/>
        </w:rPr>
      </w:pPr>
    </w:p>
    <w:p w14:paraId="20FAD13C" w14:textId="77777777" w:rsidR="00736475" w:rsidRPr="002F50D1" w:rsidRDefault="00736475" w:rsidP="0073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color w:val="000000"/>
          <w:lang w:val="en-US" w:eastAsia="pt-PT"/>
        </w:rPr>
      </w:pPr>
      <w:r w:rsidRPr="002F50D1">
        <w:rPr>
          <w:rFonts w:cs="Arial"/>
          <w:color w:val="000000"/>
          <w:lang w:val="en-US" w:eastAsia="pt-PT"/>
        </w:rPr>
        <w:t>2.2 Saponification and transmetylation</w:t>
      </w:r>
    </w:p>
    <w:p w14:paraId="5139BDF7" w14:textId="77777777" w:rsidR="00736475" w:rsidRPr="002F50D1" w:rsidRDefault="00736475" w:rsidP="0073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b/>
          <w:color w:val="000000"/>
          <w:lang w:val="en-US" w:eastAsia="pt-PT"/>
        </w:rPr>
      </w:pPr>
      <w:r w:rsidRPr="002F50D1">
        <w:rPr>
          <w:rFonts w:cs="Arial"/>
          <w:b/>
          <w:color w:val="000000"/>
          <w:lang w:val="en-US" w:eastAsia="pt-PT"/>
        </w:rPr>
        <w:t>followed by several hexane extractions (5Â´213 mL) in</w:t>
      </w:r>
    </w:p>
    <w:p w14:paraId="2F399E66" w14:textId="77777777" w:rsidR="00736475" w:rsidRPr="002F50D1" w:rsidRDefault="00736475" w:rsidP="0073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b/>
          <w:color w:val="000000"/>
          <w:lang w:val="en-US" w:eastAsia="pt-PT"/>
        </w:rPr>
      </w:pPr>
      <w:r w:rsidRPr="002F50D1">
        <w:rPr>
          <w:rFonts w:cs="Arial"/>
          <w:b/>
          <w:color w:val="000000"/>
          <w:lang w:val="en-US" w:eastAsia="pt-PT"/>
        </w:rPr>
        <w:t>Better explain (5Â´213 mL) = 5.213 L or 5,213ml . "several" give an order of magnitude.</w:t>
      </w:r>
    </w:p>
    <w:p w14:paraId="507E7796" w14:textId="77777777" w:rsidR="00736475" w:rsidRPr="002F50D1" w:rsidRDefault="00736475" w:rsidP="0073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b/>
          <w:color w:val="000000"/>
          <w:lang w:val="en-US" w:eastAsia="pt-PT"/>
        </w:rPr>
      </w:pPr>
      <w:r w:rsidRPr="002F50D1">
        <w:rPr>
          <w:rFonts w:cs="Arial"/>
          <w:b/>
          <w:color w:val="000000"/>
          <w:lang w:val="en-US" w:eastAsia="pt-PT"/>
        </w:rPr>
        <w:t>Same few lines below.</w:t>
      </w:r>
    </w:p>
    <w:p w14:paraId="1EBE88BD" w14:textId="77777777" w:rsidR="00736475" w:rsidRPr="009D4657" w:rsidRDefault="00736475" w:rsidP="0073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color w:val="0000FF"/>
          <w:lang w:val="en-US" w:eastAsia="pt-PT"/>
        </w:rPr>
      </w:pPr>
      <w:r w:rsidRPr="009D4657">
        <w:rPr>
          <w:rFonts w:cs="Arial"/>
          <w:color w:val="0000FF"/>
          <w:lang w:val="en-US" w:eastAsia="pt-PT"/>
        </w:rPr>
        <w:t>The reason to mention de use of 5 times 213ml when extracting with hexane, is because it is important to divide the total volume in several extractions to increase the fatty acids recovery. The text was rephrased in order to make it more clear.</w:t>
      </w:r>
    </w:p>
    <w:p w14:paraId="0E908CEF" w14:textId="77777777" w:rsidR="00736475" w:rsidRPr="002F50D1" w:rsidRDefault="00736475" w:rsidP="0073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color w:val="000000"/>
          <w:lang w:val="en-US" w:eastAsia="pt-PT"/>
        </w:rPr>
      </w:pPr>
    </w:p>
    <w:p w14:paraId="5A7B713C" w14:textId="77777777" w:rsidR="00736475" w:rsidRPr="002F50D1" w:rsidRDefault="00736475" w:rsidP="0073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color w:val="000000"/>
          <w:lang w:val="en-US" w:eastAsia="pt-PT"/>
        </w:rPr>
      </w:pPr>
      <w:r w:rsidRPr="002F50D1">
        <w:rPr>
          <w:rFonts w:cs="Arial"/>
          <w:color w:val="000000"/>
          <w:lang w:val="en-US" w:eastAsia="pt-PT"/>
        </w:rPr>
        <w:t>3.1 Fatty acids ethylation and profile characterization</w:t>
      </w:r>
    </w:p>
    <w:p w14:paraId="4CB3DE6B" w14:textId="77777777" w:rsidR="00736475" w:rsidRPr="002F50D1" w:rsidRDefault="00736475" w:rsidP="0073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b/>
          <w:color w:val="000000"/>
          <w:lang w:val="en-US" w:eastAsia="pt-PT"/>
        </w:rPr>
      </w:pPr>
      <w:r w:rsidRPr="002F50D1">
        <w:rPr>
          <w:rFonts w:cs="Arial"/>
          <w:b/>
          <w:color w:val="000000"/>
          <w:lang w:val="en-US" w:eastAsia="pt-PT"/>
        </w:rPr>
        <w:t>DHA ethyl ester (22:6w3 ???) was the main fatty acid obtained (38.3%).</w:t>
      </w:r>
    </w:p>
    <w:p w14:paraId="2B687D9F" w14:textId="77777777" w:rsidR="00736475" w:rsidRDefault="00736475" w:rsidP="0073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color w:val="0000FF"/>
          <w:lang w:val="en-US" w:eastAsia="pt-PT"/>
        </w:rPr>
      </w:pPr>
      <w:r w:rsidRPr="002F50D1">
        <w:rPr>
          <w:rFonts w:cs="Arial"/>
          <w:color w:val="000000"/>
          <w:lang w:val="en-US" w:eastAsia="pt-PT"/>
        </w:rPr>
        <w:t xml:space="preserve">- </w:t>
      </w:r>
      <w:r w:rsidRPr="009D4657">
        <w:rPr>
          <w:rFonts w:cs="Arial"/>
          <w:color w:val="0000FF"/>
          <w:lang w:val="en-US" w:eastAsia="pt-PT"/>
        </w:rPr>
        <w:t xml:space="preserve">Corrected as suggested </w:t>
      </w:r>
    </w:p>
    <w:p w14:paraId="62A812ED" w14:textId="77777777" w:rsidR="00736475" w:rsidRDefault="00736475" w:rsidP="0073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color w:val="0000FF"/>
          <w:lang w:val="en-US" w:eastAsia="pt-PT"/>
        </w:rPr>
      </w:pPr>
    </w:p>
    <w:p w14:paraId="64EB09F4" w14:textId="77777777" w:rsidR="00736475" w:rsidRPr="00581D5F" w:rsidRDefault="00736475" w:rsidP="0073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lang w:val="en-US" w:eastAsia="pt-PT"/>
        </w:rPr>
      </w:pPr>
      <w:r w:rsidRPr="00581D5F">
        <w:rPr>
          <w:rFonts w:cs="Arial"/>
          <w:b/>
          <w:lang w:val="en-US" w:eastAsia="pt-PT"/>
        </w:rPr>
        <w:t>ethyl esters C 16:0 (21%), C 14:0…</w:t>
      </w:r>
      <w:r w:rsidRPr="00581D5F">
        <w:rPr>
          <w:rFonts w:cs="Arial"/>
          <w:b/>
          <w:color w:val="000000"/>
          <w:lang w:val="en-US" w:eastAsia="pt-PT"/>
        </w:rPr>
        <w:t xml:space="preserve"> I suggest to eliminate C , and report exactly the names reported in the figure</w:t>
      </w:r>
      <w:r w:rsidRPr="00CE46A5">
        <w:rPr>
          <w:rFonts w:cs="Arial"/>
          <w:color w:val="000000"/>
          <w:lang w:val="en-US" w:eastAsia="pt-PT"/>
        </w:rPr>
        <w:t>.</w:t>
      </w:r>
    </w:p>
    <w:p w14:paraId="27E9B926" w14:textId="77777777" w:rsidR="00736475" w:rsidRPr="00E402DF" w:rsidRDefault="00736475" w:rsidP="0073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color w:val="0000FF"/>
          <w:lang w:val="en-US" w:eastAsia="pt-PT"/>
        </w:rPr>
      </w:pPr>
      <w:r w:rsidRPr="00E402DF">
        <w:rPr>
          <w:rFonts w:cs="Arial"/>
          <w:color w:val="0000FF"/>
          <w:lang w:val="en-US" w:eastAsia="pt-PT"/>
        </w:rPr>
        <w:t>- Corrected as suggested</w:t>
      </w:r>
    </w:p>
    <w:p w14:paraId="4C70A2AC" w14:textId="77777777" w:rsidR="00736475" w:rsidRPr="00736EF4" w:rsidRDefault="00736475" w:rsidP="0073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color w:val="000000"/>
          <w:lang w:val="en-US" w:eastAsia="pt-PT"/>
        </w:rPr>
      </w:pPr>
    </w:p>
    <w:p w14:paraId="181D7F59" w14:textId="77777777" w:rsidR="00736475" w:rsidRPr="00736EF4" w:rsidRDefault="00736475" w:rsidP="0073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color w:val="000000"/>
          <w:lang w:val="en-US" w:eastAsia="pt-PT"/>
        </w:rPr>
      </w:pPr>
      <w:r w:rsidRPr="00736EF4">
        <w:rPr>
          <w:rFonts w:cs="Arial"/>
          <w:color w:val="000000"/>
          <w:lang w:val="en-US" w:eastAsia="pt-PT"/>
        </w:rPr>
        <w:t>3.3.1 Non-urea complexing fraction</w:t>
      </w:r>
    </w:p>
    <w:p w14:paraId="3EAB2B29" w14:textId="77777777" w:rsidR="00736475" w:rsidRPr="00CE46A5" w:rsidRDefault="00736475" w:rsidP="0073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b/>
          <w:color w:val="000000"/>
          <w:lang w:val="en-US" w:eastAsia="pt-PT"/>
        </w:rPr>
      </w:pPr>
      <w:r w:rsidRPr="00CE46A5">
        <w:rPr>
          <w:rFonts w:cs="Arial"/>
          <w:b/>
          <w:color w:val="000000"/>
          <w:lang w:val="en-US" w:eastAsia="pt-PT"/>
        </w:rPr>
        <w:t>complexing fractions were (??) much higher than those (??) practically is:</w:t>
      </w:r>
    </w:p>
    <w:p w14:paraId="47A395B7" w14:textId="77777777" w:rsidR="00736475" w:rsidRPr="00CE46A5" w:rsidRDefault="00736475" w:rsidP="0073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b/>
          <w:color w:val="000000"/>
          <w:lang w:val="en-US" w:eastAsia="pt-PT"/>
        </w:rPr>
      </w:pPr>
      <w:r w:rsidRPr="00CE46A5">
        <w:rPr>
          <w:rFonts w:cs="Arial"/>
          <w:b/>
          <w:color w:val="000000"/>
          <w:lang w:val="en-US" w:eastAsia="pt-PT"/>
        </w:rPr>
        <w:t>the DHA fraction ...was much higher than that one ...</w:t>
      </w:r>
    </w:p>
    <w:p w14:paraId="69B374CE" w14:textId="77777777" w:rsidR="00736475" w:rsidRPr="009D4657" w:rsidRDefault="00736475" w:rsidP="0073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color w:val="0000FF"/>
          <w:lang w:val="en-US" w:eastAsia="pt-PT"/>
        </w:rPr>
      </w:pPr>
      <w:r w:rsidRPr="009D4657">
        <w:rPr>
          <w:rFonts w:cs="Arial"/>
          <w:color w:val="0000FF"/>
          <w:lang w:val="en-US" w:eastAsia="pt-PT"/>
        </w:rPr>
        <w:t>- The sentence was rephrased in order to better describe fatty acids profile in urea complexing fractions.</w:t>
      </w:r>
    </w:p>
    <w:p w14:paraId="2494EF2F" w14:textId="77777777" w:rsidR="00736475" w:rsidRPr="00736EF4" w:rsidRDefault="00736475" w:rsidP="0073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color w:val="000000"/>
          <w:lang w:val="en-US" w:eastAsia="pt-PT"/>
        </w:rPr>
      </w:pPr>
    </w:p>
    <w:p w14:paraId="00A8AA95" w14:textId="77777777" w:rsidR="00736475" w:rsidRPr="002F50D1" w:rsidRDefault="00736475" w:rsidP="0073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b/>
          <w:color w:val="000000"/>
          <w:lang w:val="en-US" w:eastAsia="pt-PT"/>
        </w:rPr>
      </w:pPr>
      <w:r w:rsidRPr="002F50D1">
        <w:rPr>
          <w:rFonts w:cs="Arial"/>
          <w:b/>
          <w:color w:val="000000"/>
          <w:lang w:val="en-US" w:eastAsia="pt-PT"/>
        </w:rPr>
        <w:t>References:</w:t>
      </w:r>
    </w:p>
    <w:p w14:paraId="61A4B4B3" w14:textId="77777777" w:rsidR="00736475" w:rsidRPr="002F50D1" w:rsidRDefault="00736475" w:rsidP="0073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color w:val="000000"/>
          <w:lang w:val="en-US" w:eastAsia="pt-PT"/>
        </w:rPr>
      </w:pPr>
      <w:r w:rsidRPr="002F50D1">
        <w:rPr>
          <w:rFonts w:cs="Arial"/>
          <w:color w:val="000000"/>
          <w:lang w:val="en-US" w:eastAsia="pt-PT"/>
        </w:rPr>
        <w:t>do not separate name and initials with comma, do not use ;</w:t>
      </w:r>
    </w:p>
    <w:p w14:paraId="06B51511" w14:textId="77777777" w:rsidR="00736475" w:rsidRPr="00736475" w:rsidRDefault="00736475" w:rsidP="0073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color w:val="000000"/>
          <w:lang w:val="pt-PT" w:eastAsia="pt-PT"/>
        </w:rPr>
      </w:pPr>
      <w:r w:rsidRPr="00736475">
        <w:rPr>
          <w:rFonts w:cs="Arial"/>
          <w:color w:val="000000"/>
          <w:lang w:val="pt-PT" w:eastAsia="pt-PT"/>
        </w:rPr>
        <w:t>Moniz, P.; Silva, C.; Oliveira, A.C.; Reis, A.; Lopes da Silva, T., 2021,</w:t>
      </w:r>
    </w:p>
    <w:p w14:paraId="6BF5EA8A" w14:textId="77777777" w:rsidR="00736475" w:rsidRPr="00736475" w:rsidRDefault="00736475" w:rsidP="0073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color w:val="000000"/>
          <w:lang w:val="pt-PT" w:eastAsia="pt-PT"/>
        </w:rPr>
      </w:pPr>
      <w:r w:rsidRPr="00736475">
        <w:rPr>
          <w:rFonts w:cs="Arial"/>
          <w:color w:val="000000"/>
          <w:lang w:val="pt-PT" w:eastAsia="pt-PT"/>
        </w:rPr>
        <w:t>becomes</w:t>
      </w:r>
    </w:p>
    <w:p w14:paraId="5433A745" w14:textId="77777777" w:rsidR="00736475" w:rsidRPr="00736475" w:rsidRDefault="00736475" w:rsidP="0073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color w:val="000000"/>
          <w:lang w:val="pt-PT" w:eastAsia="pt-PT"/>
        </w:rPr>
      </w:pPr>
      <w:r w:rsidRPr="00736475">
        <w:rPr>
          <w:rFonts w:cs="Arial"/>
          <w:color w:val="000000"/>
          <w:lang w:val="pt-PT" w:eastAsia="pt-PT"/>
        </w:rPr>
        <w:t>Moniz P., Silva C., Oliveira A.C., Reis A., Lopes da Silva T., 2021,</w:t>
      </w:r>
    </w:p>
    <w:p w14:paraId="3A81315E" w14:textId="77777777" w:rsidR="00736475" w:rsidRPr="002F50D1" w:rsidRDefault="00736475" w:rsidP="0073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color w:val="000000"/>
          <w:lang w:val="en-US" w:eastAsia="pt-PT"/>
        </w:rPr>
      </w:pPr>
      <w:r w:rsidRPr="002F50D1">
        <w:rPr>
          <w:rFonts w:cs="Arial"/>
          <w:color w:val="000000"/>
          <w:lang w:val="en-US" w:eastAsia="pt-PT"/>
        </w:rPr>
        <w:t>do not insert blank lines but use "CET Reference text" Style to indent the references</w:t>
      </w:r>
    </w:p>
    <w:p w14:paraId="54CCB3AA" w14:textId="77777777" w:rsidR="00736475" w:rsidRPr="002F50D1" w:rsidRDefault="00736475" w:rsidP="0073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color w:val="000000"/>
          <w:lang w:val="en-US" w:eastAsia="pt-PT"/>
        </w:rPr>
      </w:pPr>
      <w:r w:rsidRPr="002F50D1">
        <w:rPr>
          <w:rFonts w:cs="Arial"/>
          <w:color w:val="000000"/>
          <w:lang w:val="en-US" w:eastAsia="pt-PT"/>
        </w:rPr>
        <w:t>GENERAL</w:t>
      </w:r>
    </w:p>
    <w:p w14:paraId="4C156BAE" w14:textId="77777777" w:rsidR="00736475" w:rsidRPr="002F50D1" w:rsidRDefault="00736475" w:rsidP="0073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color w:val="000000"/>
          <w:lang w:val="en-US" w:eastAsia="pt-PT"/>
        </w:rPr>
      </w:pPr>
      <w:r w:rsidRPr="002F50D1">
        <w:rPr>
          <w:rFonts w:cs="Arial"/>
          <w:color w:val="000000"/>
          <w:lang w:val="en-US" w:eastAsia="pt-PT"/>
        </w:rPr>
        <w:t>There are a lot of illegal blank lines. The proper use of CET styles (see Style list) provides the sufficient distance between the lines. The text should not contain not even one blank line inserted by the Author.</w:t>
      </w:r>
    </w:p>
    <w:p w14:paraId="6CD0D3C4" w14:textId="77777777" w:rsidR="00736475" w:rsidRPr="002F50D1" w:rsidRDefault="00736475" w:rsidP="0073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color w:val="000000"/>
          <w:lang w:val="en-US" w:eastAsia="pt-PT"/>
        </w:rPr>
      </w:pPr>
      <w:r w:rsidRPr="002F50D1">
        <w:rPr>
          <w:rFonts w:cs="Arial"/>
          <w:color w:val="000000"/>
          <w:lang w:val="en-US" w:eastAsia="pt-PT"/>
        </w:rPr>
        <w:t>See, as an example of a proper use of CET instruction, the attached file (still containing the above errors)</w:t>
      </w:r>
    </w:p>
    <w:p w14:paraId="21EC96B7" w14:textId="12C9A49C" w:rsidR="00736475" w:rsidRDefault="00736475" w:rsidP="00736475">
      <w:pPr>
        <w:rPr>
          <w:rFonts w:cs="Arial"/>
          <w:color w:val="0000FF"/>
          <w:lang w:val="en-US"/>
        </w:rPr>
      </w:pPr>
      <w:r w:rsidRPr="002F50D1">
        <w:rPr>
          <w:rFonts w:cs="Arial"/>
          <w:lang w:val="en-US"/>
        </w:rPr>
        <w:t xml:space="preserve">- </w:t>
      </w:r>
      <w:r w:rsidRPr="009D4657">
        <w:rPr>
          <w:rFonts w:cs="Arial"/>
          <w:color w:val="0000FF"/>
          <w:lang w:val="en-US"/>
        </w:rPr>
        <w:t>References were corrected as suggested using CET style</w:t>
      </w:r>
    </w:p>
    <w:p w14:paraId="5CBCACCB" w14:textId="77777777" w:rsidR="00736475" w:rsidRDefault="00736475">
      <w:pPr>
        <w:tabs>
          <w:tab w:val="clear" w:pos="7100"/>
        </w:tabs>
        <w:spacing w:after="200" w:line="276" w:lineRule="auto"/>
        <w:jc w:val="left"/>
        <w:rPr>
          <w:rFonts w:cs="Arial"/>
          <w:color w:val="0000FF"/>
          <w:lang w:val="en-US"/>
        </w:rPr>
      </w:pPr>
      <w:r>
        <w:rPr>
          <w:rFonts w:cs="Arial"/>
          <w:color w:val="0000FF"/>
          <w:lang w:val="en-US"/>
        </w:rPr>
        <w:lastRenderedPageBreak/>
        <w:br w:type="page"/>
      </w:r>
    </w:p>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736475">
        <w:trPr>
          <w:trHeight w:val="852"/>
          <w:jc w:val="center"/>
        </w:trPr>
        <w:tc>
          <w:tcPr>
            <w:tcW w:w="6940" w:type="dxa"/>
            <w:vMerge w:val="restart"/>
            <w:tcBorders>
              <w:right w:val="single" w:sz="4" w:space="0" w:color="auto"/>
            </w:tcBorders>
          </w:tcPr>
          <w:p w14:paraId="38C3D2BA" w14:textId="2D0B3492"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pt-PT" w:eastAsia="pt-PT"/>
              </w:rPr>
              <w:lastRenderedPageBreak/>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254CE268" w:rsidR="000A03B2" w:rsidRPr="00B57B36" w:rsidRDefault="00A76EFC" w:rsidP="00604911">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604911">
              <w:rPr>
                <w:rFonts w:cs="Arial"/>
                <w:b/>
                <w:bCs/>
                <w:i/>
                <w:iCs/>
                <w:color w:val="000066"/>
                <w:sz w:val="22"/>
                <w:szCs w:val="22"/>
                <w:lang w:eastAsia="it-IT"/>
              </w:rPr>
              <w:t>3</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pt-PT" w:eastAsia="pt-P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736475">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736475">
        <w:trPr>
          <w:trHeight w:val="68"/>
          <w:jc w:val="center"/>
        </w:trPr>
        <w:tc>
          <w:tcPr>
            <w:tcW w:w="8782" w:type="dxa"/>
            <w:gridSpan w:val="2"/>
          </w:tcPr>
          <w:p w14:paraId="4B0BB442" w14:textId="73B2847B"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001D21AF" w:rsidRPr="0044071E">
              <w:rPr>
                <w:rFonts w:ascii="Tahoma" w:hAnsi="Tahoma" w:cs="Tahoma"/>
                <w:color w:val="000000"/>
                <w:sz w:val="14"/>
                <w:szCs w:val="14"/>
                <w:shd w:val="clear" w:color="auto" w:fill="FFFFFF"/>
                <w:lang w:val="it-IT"/>
              </w:rPr>
              <w:t xml:space="preserve"> </w:t>
            </w:r>
            <w:r w:rsidR="00AF6775">
              <w:rPr>
                <w:rFonts w:ascii="Tahoma" w:hAnsi="Tahoma" w:cs="Tahoma"/>
                <w:color w:val="000000"/>
                <w:sz w:val="14"/>
                <w:szCs w:val="14"/>
                <w:shd w:val="clear" w:color="auto" w:fill="FFFFFF"/>
                <w:lang w:val="it-IT"/>
              </w:rPr>
              <w:t>Marco Bravi,</w:t>
            </w:r>
            <w:r w:rsidR="00945AB6">
              <w:rPr>
                <w:rFonts w:ascii="Tahoma" w:hAnsi="Tahoma" w:cs="Tahoma"/>
                <w:color w:val="000000"/>
                <w:sz w:val="14"/>
                <w:szCs w:val="14"/>
                <w:shd w:val="clear" w:color="auto" w:fill="FFFFFF"/>
                <w:lang w:val="it-IT"/>
              </w:rPr>
              <w:t xml:space="preserve"> Alberto Brucato, Antonio Marzocchella</w:t>
            </w:r>
          </w:p>
          <w:p w14:paraId="1B0F1814" w14:textId="5B50B5BE" w:rsidR="000A03B2" w:rsidRPr="00B57B36" w:rsidRDefault="00FA5F5F" w:rsidP="00604911">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w:t>
            </w:r>
            <w:r w:rsidR="001D21AF">
              <w:rPr>
                <w:rFonts w:ascii="Tahoma" w:hAnsi="Tahoma" w:cs="Tahoma"/>
                <w:sz w:val="14"/>
                <w:szCs w:val="14"/>
              </w:rPr>
              <w:t>9</w:t>
            </w:r>
            <w:r w:rsidR="00604911">
              <w:rPr>
                <w:rFonts w:ascii="Tahoma" w:hAnsi="Tahoma" w:cs="Tahoma"/>
                <w:sz w:val="14"/>
                <w:szCs w:val="14"/>
              </w:rPr>
              <w:t>1</w:t>
            </w:r>
            <w:r w:rsidR="00D46B7E">
              <w:rPr>
                <w:rFonts w:ascii="Tahoma" w:hAnsi="Tahoma" w:cs="Tahoma"/>
                <w:sz w:val="14"/>
                <w:szCs w:val="14"/>
              </w:rPr>
              <w:t>-</w:t>
            </w:r>
            <w:r w:rsidR="00604911">
              <w:rPr>
                <w:rFonts w:ascii="Tahoma" w:hAnsi="Tahoma" w:cs="Tahoma"/>
                <w:sz w:val="14"/>
                <w:szCs w:val="14"/>
              </w:rPr>
              <w:t>4</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2E667253" w14:textId="7C35D1AA" w:rsidR="00E978D0" w:rsidRPr="00B57B36" w:rsidRDefault="006F0902" w:rsidP="00E978D0">
      <w:pPr>
        <w:pStyle w:val="CETTitle"/>
      </w:pPr>
      <w:r w:rsidRPr="006F206D">
        <w:rPr>
          <w:i/>
        </w:rPr>
        <w:t>Crypthecodinium cohnii</w:t>
      </w:r>
      <w:r w:rsidRPr="006F0902">
        <w:t xml:space="preserve"> </w:t>
      </w:r>
      <w:r w:rsidR="009A2F91">
        <w:t>L</w:t>
      </w:r>
      <w:r w:rsidRPr="006F0902">
        <w:t xml:space="preserve">ipid </w:t>
      </w:r>
      <w:r w:rsidR="009A2F91">
        <w:t>F</w:t>
      </w:r>
      <w:r w:rsidR="002C67E8" w:rsidRPr="006F0902">
        <w:t>ractionati</w:t>
      </w:r>
      <w:r w:rsidR="002C67E8">
        <w:t>on</w:t>
      </w:r>
      <w:r w:rsidR="002C67E8" w:rsidRPr="006F0902">
        <w:t xml:space="preserve"> </w:t>
      </w:r>
      <w:r w:rsidR="009A2F91">
        <w:t>for the S</w:t>
      </w:r>
      <w:r w:rsidRPr="006F0902">
        <w:t>imultaneous DH</w:t>
      </w:r>
      <w:r w:rsidR="009A2F91">
        <w:t>A and Biodiesel P</w:t>
      </w:r>
      <w:r>
        <w:t>roduction</w:t>
      </w:r>
    </w:p>
    <w:p w14:paraId="0488FED2" w14:textId="0D2E53C2" w:rsidR="00B57E6F" w:rsidRPr="006F0902" w:rsidRDefault="006F0902" w:rsidP="00B57E6F">
      <w:pPr>
        <w:pStyle w:val="CETAuthors"/>
        <w:rPr>
          <w:lang w:val="pt-PT"/>
        </w:rPr>
      </w:pPr>
      <w:r w:rsidRPr="006F0902">
        <w:rPr>
          <w:lang w:val="pt-PT"/>
        </w:rPr>
        <w:t>Patricia Moniz</w:t>
      </w:r>
      <w:r w:rsidR="00B57E6F" w:rsidRPr="006F0902">
        <w:rPr>
          <w:lang w:val="pt-PT"/>
        </w:rPr>
        <w:t xml:space="preserve">, </w:t>
      </w:r>
      <w:r w:rsidRPr="006F0902">
        <w:rPr>
          <w:lang w:val="pt-PT"/>
        </w:rPr>
        <w:t>Gabriel Andrade</w:t>
      </w:r>
      <w:r w:rsidR="00B57E6F" w:rsidRPr="006F0902">
        <w:rPr>
          <w:lang w:val="pt-PT"/>
        </w:rPr>
        <w:t xml:space="preserve">, </w:t>
      </w:r>
      <w:r w:rsidRPr="006F0902">
        <w:rPr>
          <w:lang w:val="pt-PT"/>
        </w:rPr>
        <w:t xml:space="preserve">Alberto Reis, Teresa L. </w:t>
      </w:r>
      <w:r>
        <w:rPr>
          <w:lang w:val="pt-PT"/>
        </w:rPr>
        <w:t>da Silva</w:t>
      </w:r>
    </w:p>
    <w:p w14:paraId="3D72B0B0" w14:textId="6B0C27B0" w:rsidR="00B57E6F" w:rsidRPr="00165696" w:rsidRDefault="006F0902" w:rsidP="00B57E6F">
      <w:pPr>
        <w:pStyle w:val="CETAddress"/>
        <w:rPr>
          <w:lang w:val="pt-PT"/>
        </w:rPr>
      </w:pPr>
      <w:r w:rsidRPr="006F0902">
        <w:rPr>
          <w:lang w:val="pt-PT"/>
        </w:rPr>
        <w:t>Laboratório Nacional de Energia e Geologia, Unidade de Bionergia e Biorrefinarias, Estrada do Paço do Lumia</w:t>
      </w:r>
      <w:r>
        <w:rPr>
          <w:lang w:val="pt-PT"/>
        </w:rPr>
        <w:t>r, 22 1649-038 Lisboa, Portugal</w:t>
      </w:r>
    </w:p>
    <w:p w14:paraId="73F1267A" w14:textId="4D480B19" w:rsidR="00B57E6F" w:rsidRPr="00B57B36" w:rsidRDefault="00F15223" w:rsidP="00B57E6F">
      <w:pPr>
        <w:pStyle w:val="CETemail"/>
      </w:pPr>
      <w:r w:rsidRPr="00F15223">
        <w:t>C</w:t>
      </w:r>
      <w:r w:rsidR="00B57E6F" w:rsidRPr="00B57B36">
        <w:t>orresponding.author</w:t>
      </w:r>
      <w:r w:rsidR="00165696">
        <w:t xml:space="preserve">: </w:t>
      </w:r>
      <w:r>
        <w:t>patricia.moniz</w:t>
      </w:r>
      <w:r w:rsidR="00B57E6F" w:rsidRPr="00B57B36">
        <w:t>@</w:t>
      </w:r>
      <w:r w:rsidR="00165696">
        <w:t>lneg.pt</w:t>
      </w:r>
    </w:p>
    <w:p w14:paraId="1DA7EE3B" w14:textId="77777777" w:rsidR="006F0902" w:rsidRPr="00F15223" w:rsidRDefault="006F0902" w:rsidP="00600535">
      <w:pPr>
        <w:pStyle w:val="CETBodytext"/>
        <w:rPr>
          <w:lang w:val="en-GB"/>
        </w:rPr>
      </w:pPr>
    </w:p>
    <w:p w14:paraId="215227E7" w14:textId="6646017A" w:rsidR="006F0902" w:rsidRDefault="00641D45" w:rsidP="00600535">
      <w:pPr>
        <w:pStyle w:val="CETBodytext"/>
      </w:pPr>
      <w:r>
        <w:t xml:space="preserve">In recent years, oil derived from microalgae has been considered as one of the most promising </w:t>
      </w:r>
      <w:r w:rsidRPr="00B01729">
        <w:rPr>
          <w:highlight w:val="green"/>
        </w:rPr>
        <w:t>source</w:t>
      </w:r>
      <w:r w:rsidR="00B01729" w:rsidRPr="00B01729">
        <w:rPr>
          <w:highlight w:val="green"/>
        </w:rPr>
        <w:t>s</w:t>
      </w:r>
      <w:r>
        <w:t xml:space="preserve"> of high value added products and biofuels. The marine microalgae </w:t>
      </w:r>
      <w:r w:rsidRPr="00386418">
        <w:rPr>
          <w:i/>
        </w:rPr>
        <w:t>Crypthecodinium cohnii</w:t>
      </w:r>
      <w:r>
        <w:t xml:space="preserve"> has the capacity to produce significant amounts of lipids, about 20% to 50% of its cellular dry weight, with a high proportion of docosahexaenoic acid (DHA), which is a </w:t>
      </w:r>
      <w:r>
        <w:rPr>
          <w:rFonts w:ascii="Cambria Math" w:hAnsi="Cambria Math" w:cs="Cambria Math"/>
        </w:rPr>
        <w:t>ꙍ</w:t>
      </w:r>
      <w:r>
        <w:t xml:space="preserve">-3 </w:t>
      </w:r>
      <w:r w:rsidR="00886C89">
        <w:t>polyunsaturated fatty acid (</w:t>
      </w:r>
      <w:r>
        <w:t>PUFA</w:t>
      </w:r>
      <w:r w:rsidR="00886C89">
        <w:t>)</w:t>
      </w:r>
      <w:r>
        <w:t xml:space="preserve"> with globally recognized benefits in human health. However, most of</w:t>
      </w:r>
      <w:r w:rsidR="00386418">
        <w:t xml:space="preserve"> the</w:t>
      </w:r>
      <w:r>
        <w:t xml:space="preserve"> recent published studies on this matter only</w:t>
      </w:r>
      <w:r w:rsidR="00F20E3D">
        <w:t xml:space="preserve"> valorize</w:t>
      </w:r>
      <w:r>
        <w:t xml:space="preserve"> </w:t>
      </w:r>
      <w:r w:rsidRPr="00386418">
        <w:rPr>
          <w:i/>
        </w:rPr>
        <w:t>C. cohnii</w:t>
      </w:r>
      <w:r>
        <w:t xml:space="preserve"> PUFA fraction, neglecting the remaining microalgal lipid fraction, after DHA removal. This research explored the overall </w:t>
      </w:r>
      <w:r w:rsidRPr="00386418">
        <w:rPr>
          <w:i/>
        </w:rPr>
        <w:t>C. cohni</w:t>
      </w:r>
      <w:r>
        <w:t xml:space="preserve"> lipid </w:t>
      </w:r>
      <w:r w:rsidR="002C67E8">
        <w:t>fractionation</w:t>
      </w:r>
      <w:r>
        <w:t xml:space="preserve">, to obtain a </w:t>
      </w:r>
      <w:r w:rsidR="00386418">
        <w:t>PUFA rich fraction</w:t>
      </w:r>
      <w:r>
        <w:t xml:space="preserve"> (namely DHA) that can be used in pharmaceutical/nutraceutical/food purposes, and another lipid fraction, rich in saturated/monounsaturated fatty acids, which can be used for biodiesel purposes. In this way, all the microalgal lipid fractions can be used and valorized. </w:t>
      </w:r>
      <w:r w:rsidRPr="00386418">
        <w:rPr>
          <w:i/>
        </w:rPr>
        <w:t>C. cohnii</w:t>
      </w:r>
      <w:r>
        <w:t xml:space="preserve"> lipid fractionating was carried out using urea complexes, at different temperatures. The best temperature that led to the highest DHA proportion in the noncrystallized phas</w:t>
      </w:r>
      <w:r w:rsidR="00A93B56">
        <w:t>e was -30 °C, attaining 79.67</w:t>
      </w:r>
      <w:r w:rsidR="00386418">
        <w:t xml:space="preserve"> % </w:t>
      </w:r>
      <w:r>
        <w:t xml:space="preserve">w/w </w:t>
      </w:r>
      <w:r w:rsidR="00F070AD">
        <w:t>total fatty acids (</w:t>
      </w:r>
      <w:r>
        <w:t>TFA</w:t>
      </w:r>
      <w:r w:rsidR="00F070AD">
        <w:t>)</w:t>
      </w:r>
      <w:r>
        <w:t>. The rem</w:t>
      </w:r>
      <w:r w:rsidR="00AB5F88">
        <w:t xml:space="preserve">aining lipid fraction was </w:t>
      </w:r>
      <w:r w:rsidR="00DF7C49">
        <w:t>characterized and evaluated</w:t>
      </w:r>
      <w:r>
        <w:t xml:space="preserve"> for biodiesel purpose. The results obtained in this research contributed to a better valorization of all </w:t>
      </w:r>
      <w:r w:rsidRPr="00386418">
        <w:rPr>
          <w:i/>
        </w:rPr>
        <w:t>C. cohnii</w:t>
      </w:r>
      <w:r>
        <w:t xml:space="preserve"> lipid </w:t>
      </w:r>
      <w:r w:rsidR="005B395F">
        <w:t>fractions</w:t>
      </w:r>
      <w:r>
        <w:t xml:space="preserve">, being possible to apply this approach to other microalgal oils. </w:t>
      </w:r>
    </w:p>
    <w:p w14:paraId="6C168F6B" w14:textId="77777777" w:rsidR="006F0902" w:rsidRDefault="006F0902" w:rsidP="00600535">
      <w:pPr>
        <w:pStyle w:val="CETBodytext"/>
      </w:pPr>
    </w:p>
    <w:p w14:paraId="37A61FCE" w14:textId="69463D26" w:rsidR="00DA24C6" w:rsidRDefault="00DA24C6" w:rsidP="00DA24C6">
      <w:pPr>
        <w:pStyle w:val="CETListbullets"/>
        <w:numPr>
          <w:ilvl w:val="0"/>
          <w:numId w:val="13"/>
        </w:numPr>
      </w:pPr>
    </w:p>
    <w:p w14:paraId="476B2F2E" w14:textId="5C3B5FF8" w:rsidR="00600535" w:rsidRDefault="00600535" w:rsidP="00600535">
      <w:pPr>
        <w:pStyle w:val="CETHeading1"/>
        <w:rPr>
          <w:lang w:val="en-GB"/>
        </w:rPr>
      </w:pPr>
      <w:r w:rsidRPr="00B57B36">
        <w:rPr>
          <w:lang w:val="en-GB"/>
        </w:rPr>
        <w:t>Introduction</w:t>
      </w:r>
    </w:p>
    <w:p w14:paraId="45060E93" w14:textId="11FCDFB0" w:rsidR="005C1492" w:rsidRPr="005C1492" w:rsidRDefault="005C1492" w:rsidP="005C1492">
      <w:pPr>
        <w:pStyle w:val="CETBodytext"/>
        <w:rPr>
          <w:lang w:val="en-GB"/>
        </w:rPr>
      </w:pPr>
      <w:r w:rsidRPr="00063D77">
        <w:rPr>
          <w:i/>
          <w:lang w:val="en-GB"/>
        </w:rPr>
        <w:t>Crypthecodinium cohnii</w:t>
      </w:r>
      <w:r w:rsidRPr="005C1492">
        <w:rPr>
          <w:lang w:val="en-GB"/>
        </w:rPr>
        <w:t xml:space="preserve"> is </w:t>
      </w:r>
      <w:r w:rsidR="00A53A9E">
        <w:rPr>
          <w:lang w:val="en-GB"/>
        </w:rPr>
        <w:t>a marine heterotrophic microalga</w:t>
      </w:r>
      <w:r w:rsidRPr="005C1492">
        <w:rPr>
          <w:lang w:val="en-GB"/>
        </w:rPr>
        <w:t xml:space="preserve"> that is widespread in tropical and temperate waters worldwide. In Nature, they appear to feed on decomposing macrophytes (marine macroalgae), especially of the </w:t>
      </w:r>
      <w:r w:rsidRPr="00063D77">
        <w:rPr>
          <w:i/>
          <w:lang w:val="en-GB"/>
        </w:rPr>
        <w:t>Fucus spp</w:t>
      </w:r>
      <w:r w:rsidR="00493740">
        <w:rPr>
          <w:lang w:val="en-GB"/>
        </w:rPr>
        <w:t>. (</w:t>
      </w:r>
      <w:r w:rsidR="00493740" w:rsidRPr="00703BEC">
        <w:rPr>
          <w:lang w:val="en-GB"/>
        </w:rPr>
        <w:t xml:space="preserve">Beam </w:t>
      </w:r>
      <w:r w:rsidR="00493740" w:rsidRPr="00703BEC">
        <w:rPr>
          <w:rFonts w:cs="Arial"/>
        </w:rPr>
        <w:t>et al, 1982</w:t>
      </w:r>
      <w:r w:rsidR="00493740">
        <w:rPr>
          <w:rFonts w:cs="Arial"/>
        </w:rPr>
        <w:t>)</w:t>
      </w:r>
      <w:r w:rsidRPr="005C1492">
        <w:rPr>
          <w:lang w:val="en-GB"/>
        </w:rPr>
        <w:t>.</w:t>
      </w:r>
    </w:p>
    <w:p w14:paraId="146A0182" w14:textId="261A746F" w:rsidR="005C1492" w:rsidRDefault="00C503AF" w:rsidP="005C1492">
      <w:pPr>
        <w:pStyle w:val="CETBodytext"/>
        <w:rPr>
          <w:lang w:val="en-GB"/>
        </w:rPr>
      </w:pPr>
      <w:r w:rsidRPr="00C503AF">
        <w:rPr>
          <w:i/>
          <w:highlight w:val="green"/>
          <w:lang w:val="en-GB"/>
        </w:rPr>
        <w:t>C. cohnii</w:t>
      </w:r>
      <w:r w:rsidR="005C1492" w:rsidRPr="00C503AF">
        <w:rPr>
          <w:highlight w:val="green"/>
          <w:lang w:val="en-GB"/>
        </w:rPr>
        <w:t xml:space="preserve"> cells </w:t>
      </w:r>
      <w:r w:rsidRPr="00C503AF">
        <w:rPr>
          <w:highlight w:val="green"/>
          <w:lang w:val="en-GB"/>
        </w:rPr>
        <w:t xml:space="preserve">are show in </w:t>
      </w:r>
      <w:r w:rsidR="005C1492" w:rsidRPr="00C503AF">
        <w:rPr>
          <w:highlight w:val="green"/>
          <w:lang w:val="en-GB"/>
        </w:rPr>
        <w:t>Figure</w:t>
      </w:r>
      <w:r w:rsidRPr="00C503AF">
        <w:rPr>
          <w:highlight w:val="green"/>
          <w:lang w:val="en-GB"/>
        </w:rPr>
        <w:t xml:space="preserve"> 1</w:t>
      </w:r>
      <w:r w:rsidR="00063D77" w:rsidRPr="00C503AF">
        <w:rPr>
          <w:highlight w:val="green"/>
          <w:lang w:val="en-GB"/>
        </w:rPr>
        <w:t>.</w:t>
      </w:r>
    </w:p>
    <w:p w14:paraId="607D492C" w14:textId="308C68D7" w:rsidR="00063D77" w:rsidRPr="00A93B56" w:rsidRDefault="00063D77" w:rsidP="005C1492">
      <w:pPr>
        <w:pStyle w:val="CETBodytext"/>
        <w:rPr>
          <w:noProof/>
          <w:lang w:val="en-GB" w:eastAsia="pt-PT"/>
        </w:rPr>
      </w:pPr>
    </w:p>
    <w:p w14:paraId="159ED753" w14:textId="53A098AE" w:rsidR="00AB74FE" w:rsidRPr="00A93B56" w:rsidRDefault="00A93B56" w:rsidP="005C1492">
      <w:pPr>
        <w:pStyle w:val="CETBodytext"/>
        <w:rPr>
          <w:noProof/>
          <w:lang w:val="en-GB" w:eastAsia="pt-PT"/>
        </w:rPr>
      </w:pPr>
      <w:r w:rsidRPr="00F463F9">
        <w:rPr>
          <w:rFonts w:cs="Arial"/>
          <w:noProof/>
          <w:lang w:val="pt-PT" w:eastAsia="pt-PT"/>
        </w:rPr>
        <w:drawing>
          <wp:inline distT="0" distB="0" distL="0" distR="0" wp14:anchorId="530E2413" wp14:editId="640F0DCC">
            <wp:extent cx="2232000" cy="1785599"/>
            <wp:effectExtent l="0" t="0" r="0" b="571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232000" cy="1785599"/>
                    </a:xfrm>
                    <a:prstGeom prst="rect">
                      <a:avLst/>
                    </a:prstGeom>
                    <a:noFill/>
                  </pic:spPr>
                </pic:pic>
              </a:graphicData>
            </a:graphic>
          </wp:inline>
        </w:drawing>
      </w:r>
    </w:p>
    <w:p w14:paraId="7E61080C" w14:textId="4BDF453E" w:rsidR="00063D77" w:rsidRDefault="00063D77" w:rsidP="00063D77">
      <w:pPr>
        <w:pStyle w:val="CETCaption"/>
        <w:rPr>
          <w:lang w:val="en-US"/>
        </w:rPr>
      </w:pPr>
      <w:bookmarkStart w:id="0" w:name="_Ref18686289"/>
      <w:bookmarkStart w:id="1" w:name="_Toc23844491"/>
      <w:r>
        <w:lastRenderedPageBreak/>
        <w:t xml:space="preserve">Figure </w:t>
      </w:r>
      <w:bookmarkEnd w:id="0"/>
      <w:r>
        <w:t>1 – Microscopic photograph of C. cohnii (at 1000x magnification).</w:t>
      </w:r>
      <w:bookmarkEnd w:id="1"/>
    </w:p>
    <w:p w14:paraId="4F2077E8" w14:textId="17BD2EAA" w:rsidR="005C1492" w:rsidRDefault="005C1492" w:rsidP="005C1492">
      <w:pPr>
        <w:pStyle w:val="CETBodytext"/>
        <w:rPr>
          <w:lang w:val="en-GB"/>
        </w:rPr>
      </w:pPr>
      <w:r w:rsidRPr="00063D77">
        <w:rPr>
          <w:i/>
          <w:lang w:val="en-GB"/>
        </w:rPr>
        <w:t>C. cohnii</w:t>
      </w:r>
      <w:r w:rsidRPr="005C1492">
        <w:rPr>
          <w:lang w:val="en-GB"/>
        </w:rPr>
        <w:t xml:space="preserve"> microalga is of special interest amon</w:t>
      </w:r>
      <w:r w:rsidR="005B395F">
        <w:rPr>
          <w:lang w:val="en-GB"/>
        </w:rPr>
        <w:t>g other similar microalgae as</w:t>
      </w:r>
      <w:r w:rsidRPr="005C1492">
        <w:rPr>
          <w:lang w:val="en-GB"/>
        </w:rPr>
        <w:t xml:space="preserve"> they accumulate a large amoun</w:t>
      </w:r>
      <w:r w:rsidR="005B395F">
        <w:rPr>
          <w:lang w:val="en-GB"/>
        </w:rPr>
        <w:t>t of DHA, being the only PUFA</w:t>
      </w:r>
      <w:r w:rsidRPr="005C1492">
        <w:rPr>
          <w:lang w:val="en-GB"/>
        </w:rPr>
        <w:t xml:space="preserve"> accum</w:t>
      </w:r>
      <w:r w:rsidR="005B395F">
        <w:rPr>
          <w:lang w:val="en-GB"/>
        </w:rPr>
        <w:t>ulated</w:t>
      </w:r>
      <w:r w:rsidR="00063D77">
        <w:rPr>
          <w:lang w:val="en-GB"/>
        </w:rPr>
        <w:t xml:space="preserve"> </w:t>
      </w:r>
      <w:r w:rsidR="002C67E8">
        <w:rPr>
          <w:lang w:val="en-GB"/>
        </w:rPr>
        <w:t xml:space="preserve">at </w:t>
      </w:r>
      <w:r w:rsidR="00063D77">
        <w:rPr>
          <w:lang w:val="en-GB"/>
        </w:rPr>
        <w:t>significant amounts</w:t>
      </w:r>
      <w:r w:rsidR="00703BEC">
        <w:rPr>
          <w:lang w:val="en-GB"/>
        </w:rPr>
        <w:t xml:space="preserve"> (Mendes et al., 2009)</w:t>
      </w:r>
      <w:r w:rsidRPr="005C1492">
        <w:rPr>
          <w:lang w:val="en-GB"/>
        </w:rPr>
        <w:t xml:space="preserve">. This makes this species interesting for obtaining large quantities of DHA and simplifies its purification. </w:t>
      </w:r>
      <w:r w:rsidR="002A00B3" w:rsidRPr="005C1492">
        <w:rPr>
          <w:lang w:val="en-GB"/>
        </w:rPr>
        <w:t xml:space="preserve">This </w:t>
      </w:r>
      <w:r w:rsidR="002A00B3">
        <w:rPr>
          <w:lang w:val="en-GB"/>
        </w:rPr>
        <w:t>microalga</w:t>
      </w:r>
      <w:r w:rsidRPr="005C1492">
        <w:rPr>
          <w:lang w:val="en-GB"/>
        </w:rPr>
        <w:t xml:space="preserve"> has been used industrially to</w:t>
      </w:r>
      <w:r w:rsidR="00FC181E">
        <w:rPr>
          <w:lang w:val="en-GB"/>
        </w:rPr>
        <w:t xml:space="preserve"> produce DHA for infant formula, among other supplements.</w:t>
      </w:r>
    </w:p>
    <w:p w14:paraId="6454A2A5" w14:textId="10F20729" w:rsidR="005C1492" w:rsidRPr="005C1492" w:rsidRDefault="00FC181E" w:rsidP="005C1492">
      <w:pPr>
        <w:pStyle w:val="CETBodytext"/>
        <w:rPr>
          <w:lang w:val="en-GB"/>
        </w:rPr>
      </w:pPr>
      <w:r>
        <w:t xml:space="preserve">DHA </w:t>
      </w:r>
      <w:r w:rsidR="005C1492">
        <w:t xml:space="preserve">is a long-chain </w:t>
      </w:r>
      <w:r w:rsidR="002C67E8">
        <w:sym w:font="Symbol" w:char="F077"/>
      </w:r>
      <w:r w:rsidR="005C1492">
        <w:t xml:space="preserve">-3 polyunsaturated fatty acid (PUFA) with 22 carbon atoms and 6 double bonds in its fatty acid chain. It is synthetized by algae and microalgae (including </w:t>
      </w:r>
      <w:r w:rsidR="005C1492" w:rsidRPr="005C1492">
        <w:rPr>
          <w:i/>
          <w:iCs/>
        </w:rPr>
        <w:t>C.cohnii</w:t>
      </w:r>
      <w:r w:rsidR="005C1492">
        <w:t>), becoming increasingly bioaccumul</w:t>
      </w:r>
      <w:r w:rsidR="005B395F">
        <w:t>ated in organisms in</w:t>
      </w:r>
      <w:r w:rsidR="005C1492">
        <w:t xml:space="preserve"> the food chain. The most</w:t>
      </w:r>
      <w:r w:rsidR="005B395F">
        <w:t xml:space="preserve"> common dietary sources are</w:t>
      </w:r>
      <w:r w:rsidR="005C1492">
        <w:t xml:space="preserve"> fish, crustaceans, water mollusks and their derivative products. </w:t>
      </w:r>
    </w:p>
    <w:p w14:paraId="26470277" w14:textId="5B0A94B5" w:rsidR="004F448E" w:rsidRDefault="005C1492" w:rsidP="004F448E">
      <w:pPr>
        <w:rPr>
          <w:rFonts w:cs="Arial"/>
        </w:rPr>
      </w:pPr>
      <w:r>
        <w:rPr>
          <w:rFonts w:cs="Arial"/>
        </w:rPr>
        <w:t>Multiple studies have been made on the DHA and other omega-3 fatty acids effects on human health. The consumption of omega-3 fatty acids, in particular DHA, appears to be related to a variety of positive health effects. The presence of fish, and therefore DHA, in the human diet</w:t>
      </w:r>
      <w:r w:rsidR="00DC54EF">
        <w:rPr>
          <w:rFonts w:cs="Arial"/>
        </w:rPr>
        <w:t>,</w:t>
      </w:r>
      <w:r>
        <w:rPr>
          <w:rFonts w:cs="Arial"/>
        </w:rPr>
        <w:t xml:space="preserve"> may correlate to less incidence of cardiovascular diseases and major depression</w:t>
      </w:r>
      <w:r w:rsidR="00961316">
        <w:rPr>
          <w:rFonts w:cs="Arial"/>
        </w:rPr>
        <w:t xml:space="preserve"> (Horrocks, and </w:t>
      </w:r>
      <w:r w:rsidR="00961316" w:rsidRPr="00F463F9">
        <w:rPr>
          <w:rFonts w:cs="Arial"/>
        </w:rPr>
        <w:t>Yeo</w:t>
      </w:r>
      <w:r w:rsidR="00961316">
        <w:rPr>
          <w:rFonts w:cs="Arial"/>
        </w:rPr>
        <w:t>, 1999)</w:t>
      </w:r>
      <w:r>
        <w:rPr>
          <w:rFonts w:cs="Arial"/>
        </w:rPr>
        <w:t>. The consumption of fish and omega-3 fats and related products al</w:t>
      </w:r>
      <w:r w:rsidR="005B395F">
        <w:rPr>
          <w:rFonts w:cs="Arial"/>
        </w:rPr>
        <w:t>so appears to delay</w:t>
      </w:r>
      <w:r>
        <w:rPr>
          <w:rFonts w:cs="Arial"/>
        </w:rPr>
        <w:t xml:space="preserve"> Alzheimer’s disease and other types of dementia in adults</w:t>
      </w:r>
      <w:r w:rsidR="00961316">
        <w:rPr>
          <w:rFonts w:cs="Arial"/>
        </w:rPr>
        <w:t xml:space="preserve"> (Horrocks, and </w:t>
      </w:r>
      <w:r w:rsidR="00961316" w:rsidRPr="00F463F9">
        <w:rPr>
          <w:rFonts w:cs="Arial"/>
        </w:rPr>
        <w:t>Yeo</w:t>
      </w:r>
      <w:r w:rsidR="00961316">
        <w:rPr>
          <w:rFonts w:cs="Arial"/>
        </w:rPr>
        <w:t>, 1999)</w:t>
      </w:r>
      <w:r>
        <w:rPr>
          <w:rFonts w:cs="Arial"/>
        </w:rPr>
        <w:t>. The proliferation of cancer cells and metastasis also appears to be reduced by a diet with high contents of DHA and other omega-3 fatty acids</w:t>
      </w:r>
      <w:r w:rsidR="00961316">
        <w:rPr>
          <w:rFonts w:cs="Arial"/>
        </w:rPr>
        <w:t xml:space="preserve"> (Horrocks, and </w:t>
      </w:r>
      <w:r w:rsidR="00961316" w:rsidRPr="00F463F9">
        <w:rPr>
          <w:rFonts w:cs="Arial"/>
        </w:rPr>
        <w:t>Yeo</w:t>
      </w:r>
      <w:r w:rsidR="00961316">
        <w:rPr>
          <w:rFonts w:cs="Arial"/>
        </w:rPr>
        <w:t>, 1999)</w:t>
      </w:r>
      <w:r>
        <w:rPr>
          <w:rFonts w:cs="Arial"/>
        </w:rPr>
        <w:t xml:space="preserve">. </w:t>
      </w:r>
    </w:p>
    <w:p w14:paraId="6EE15E9F" w14:textId="67D33647" w:rsidR="005C1492" w:rsidRPr="005C1492" w:rsidRDefault="005C1492" w:rsidP="004F448E">
      <w:r w:rsidRPr="005C1492">
        <w:t xml:space="preserve">DHA content in </w:t>
      </w:r>
      <w:r w:rsidR="00DC54EF">
        <w:t xml:space="preserve">the microalgae </w:t>
      </w:r>
      <w:r w:rsidRPr="004F448E">
        <w:rPr>
          <w:i/>
        </w:rPr>
        <w:t>C. cohnii</w:t>
      </w:r>
      <w:r w:rsidRPr="005C1492">
        <w:t xml:space="preserve"> can reach as high as 50% </w:t>
      </w:r>
      <w:r w:rsidR="00DC54EF">
        <w:t xml:space="preserve">w/w </w:t>
      </w:r>
      <w:r w:rsidRPr="005C1492">
        <w:t xml:space="preserve">of the total extractable lipids </w:t>
      </w:r>
      <w:r w:rsidR="00703BEC">
        <w:t xml:space="preserve">(Mendes et al., 2009). </w:t>
      </w:r>
      <w:r w:rsidR="005B395F">
        <w:t>Multiple studies have been carried out</w:t>
      </w:r>
      <w:r w:rsidRPr="005C1492">
        <w:t xml:space="preserve"> to study the ideal growth conditions for DHA accumulation. Low carbon source concentrations increase the DHA proportion in microalgal lipids, but at the </w:t>
      </w:r>
      <w:r w:rsidR="00961316">
        <w:t xml:space="preserve">expense of slower growth rates </w:t>
      </w:r>
      <w:r w:rsidR="00961316">
        <w:rPr>
          <w:rFonts w:cs="Arial"/>
        </w:rPr>
        <w:t xml:space="preserve">(Jiang and </w:t>
      </w:r>
      <w:r w:rsidR="00961316" w:rsidRPr="00F463F9">
        <w:rPr>
          <w:rFonts w:cs="Arial"/>
        </w:rPr>
        <w:t>Chen</w:t>
      </w:r>
      <w:r w:rsidR="00961316">
        <w:rPr>
          <w:rFonts w:cs="Arial"/>
        </w:rPr>
        <w:t>, 2000)</w:t>
      </w:r>
      <w:r w:rsidRPr="005C1492">
        <w:t>. Lipid production occurs during growth-limiting conditions, when the cells are stressed or during the statio</w:t>
      </w:r>
      <w:r w:rsidR="00703BEC">
        <w:t>nary phase (Mendes et al., 2009)</w:t>
      </w:r>
      <w:r w:rsidRPr="005C1492">
        <w:t>. The percentage of DHA also decreases with the increase in lip</w:t>
      </w:r>
      <w:r w:rsidR="004F448E">
        <w:t>id production</w:t>
      </w:r>
      <w:r w:rsidRPr="005C1492">
        <w:t>.</w:t>
      </w:r>
    </w:p>
    <w:p w14:paraId="39A5D7EF" w14:textId="076B8386" w:rsidR="005C1492" w:rsidRDefault="004F448E" w:rsidP="004F448E">
      <w:r>
        <w:rPr>
          <w:rFonts w:cs="Arial"/>
        </w:rPr>
        <w:t xml:space="preserve">In addition, alternative biodiesel sources have been </w:t>
      </w:r>
      <w:r w:rsidR="005B395F">
        <w:rPr>
          <w:rFonts w:cs="Arial"/>
        </w:rPr>
        <w:t>pursued</w:t>
      </w:r>
      <w:r>
        <w:rPr>
          <w:rFonts w:cs="Arial"/>
        </w:rPr>
        <w:t>, including waste vegeta</w:t>
      </w:r>
      <w:r w:rsidR="005B395F">
        <w:rPr>
          <w:rFonts w:cs="Arial"/>
        </w:rPr>
        <w:t xml:space="preserve">ble oils, sewage grease and </w:t>
      </w:r>
      <w:r>
        <w:rPr>
          <w:rFonts w:cs="Arial"/>
        </w:rPr>
        <w:t>microalgae oil</w:t>
      </w:r>
      <w:r w:rsidR="00961316">
        <w:rPr>
          <w:rFonts w:cs="Arial"/>
        </w:rPr>
        <w:t xml:space="preserve"> (Singh and </w:t>
      </w:r>
      <w:r w:rsidR="00961316" w:rsidRPr="00F463F9">
        <w:rPr>
          <w:rFonts w:cs="Arial"/>
        </w:rPr>
        <w:t>Singh</w:t>
      </w:r>
      <w:r w:rsidR="00961316">
        <w:rPr>
          <w:rFonts w:cs="Arial"/>
        </w:rPr>
        <w:t>, 2010)</w:t>
      </w:r>
      <w:r>
        <w:rPr>
          <w:rFonts w:cs="Arial"/>
        </w:rPr>
        <w:t xml:space="preserve">. However, it is not realistically possible to meet the transport fuel needs with neither waste </w:t>
      </w:r>
      <w:r w:rsidR="00F308BA">
        <w:rPr>
          <w:rFonts w:cs="Arial"/>
        </w:rPr>
        <w:t>lipid</w:t>
      </w:r>
      <w:r>
        <w:rPr>
          <w:rFonts w:cs="Arial"/>
        </w:rPr>
        <w:t xml:space="preserve"> alone. One </w:t>
      </w:r>
      <w:r w:rsidR="005B395F">
        <w:rPr>
          <w:rFonts w:cs="Arial"/>
        </w:rPr>
        <w:t>promising alternative consist</w:t>
      </w:r>
      <w:r w:rsidR="00F20E3D">
        <w:rPr>
          <w:rFonts w:cs="Arial"/>
        </w:rPr>
        <w:t>s</w:t>
      </w:r>
      <w:r w:rsidR="005B395F">
        <w:rPr>
          <w:rFonts w:cs="Arial"/>
        </w:rPr>
        <w:t xml:space="preserve"> </w:t>
      </w:r>
      <w:r w:rsidR="00DC54EF">
        <w:rPr>
          <w:rFonts w:cs="Arial"/>
        </w:rPr>
        <w:t xml:space="preserve">of </w:t>
      </w:r>
      <w:r>
        <w:rPr>
          <w:rFonts w:cs="Arial"/>
        </w:rPr>
        <w:t xml:space="preserve">considering the oils derived from microalgae as biodiesel. </w:t>
      </w:r>
      <w:r w:rsidR="00DC54EF">
        <w:t>This biofuel is composed of</w:t>
      </w:r>
      <w:r w:rsidR="005C1492" w:rsidRPr="005C1492">
        <w:t xml:space="preserve"> long-chained alkyl esters, usually methyl esters, produced from vegetable oils, animal fats or lipids from microorganisms, with the purpose of being used as a greener substitute of conventional, petrol-based diesel fuel (petrodiesel). </w:t>
      </w:r>
    </w:p>
    <w:p w14:paraId="6ABDE1B0" w14:textId="34DC260B" w:rsidR="00063D77" w:rsidRPr="00063D77" w:rsidRDefault="00063D77" w:rsidP="00AB74FE">
      <w:pPr>
        <w:pStyle w:val="CETBodytext"/>
        <w:rPr>
          <w:lang w:val="en-GB"/>
        </w:rPr>
      </w:pPr>
      <w:r w:rsidRPr="00063D77">
        <w:rPr>
          <w:lang w:val="en-GB"/>
        </w:rPr>
        <w:t>There are several m</w:t>
      </w:r>
      <w:r w:rsidR="004F448E">
        <w:rPr>
          <w:lang w:val="en-GB"/>
        </w:rPr>
        <w:t xml:space="preserve">ethods for concentration of </w:t>
      </w:r>
      <w:r w:rsidRPr="00063D77">
        <w:rPr>
          <w:lang w:val="en-GB"/>
        </w:rPr>
        <w:t xml:space="preserve">PUFA, but only few are suitable for large-scale production. </w:t>
      </w:r>
    </w:p>
    <w:p w14:paraId="51F055A9" w14:textId="77777777" w:rsidR="005B395F" w:rsidRDefault="00063D77" w:rsidP="00063D77">
      <w:pPr>
        <w:pStyle w:val="CETBodytext"/>
        <w:rPr>
          <w:lang w:val="en-GB"/>
        </w:rPr>
      </w:pPr>
      <w:r w:rsidRPr="00063D77">
        <w:rPr>
          <w:lang w:val="en-GB"/>
        </w:rPr>
        <w:t>Urea molecules rea</w:t>
      </w:r>
      <w:r w:rsidR="00AB74FE">
        <w:rPr>
          <w:lang w:val="en-GB"/>
        </w:rPr>
        <w:t xml:space="preserve">dily form solid-phase complexes </w:t>
      </w:r>
      <w:r w:rsidRPr="00063D77">
        <w:rPr>
          <w:lang w:val="en-GB"/>
        </w:rPr>
        <w:t>with saturated free fatty</w:t>
      </w:r>
      <w:r w:rsidR="00AB74FE">
        <w:rPr>
          <w:lang w:val="en-GB"/>
        </w:rPr>
        <w:t xml:space="preserve"> acids (FFA). In this way, PUFA </w:t>
      </w:r>
      <w:r w:rsidRPr="00063D77">
        <w:rPr>
          <w:lang w:val="en-GB"/>
        </w:rPr>
        <w:t>and branched FFA may b</w:t>
      </w:r>
      <w:r w:rsidR="00AB74FE">
        <w:rPr>
          <w:lang w:val="en-GB"/>
        </w:rPr>
        <w:t xml:space="preserve">e separated from saturated FFA. </w:t>
      </w:r>
    </w:p>
    <w:p w14:paraId="52D4BA4E" w14:textId="1720E557" w:rsidR="00063D77" w:rsidRPr="00063D77" w:rsidRDefault="00063D77" w:rsidP="00063D77">
      <w:pPr>
        <w:pStyle w:val="CETBodytext"/>
        <w:rPr>
          <w:lang w:val="en-GB"/>
        </w:rPr>
      </w:pPr>
      <w:r w:rsidRPr="00063D77">
        <w:rPr>
          <w:lang w:val="en-GB"/>
        </w:rPr>
        <w:t>Urea complexation seems to be one of the most app</w:t>
      </w:r>
      <w:r w:rsidR="00AB74FE">
        <w:rPr>
          <w:lang w:val="en-GB"/>
        </w:rPr>
        <w:t>ropri</w:t>
      </w:r>
      <w:r w:rsidR="001E2016">
        <w:rPr>
          <w:lang w:val="en-GB"/>
        </w:rPr>
        <w:t>ate methods for PUFA enrichment. This process</w:t>
      </w:r>
      <w:r w:rsidR="00AB74FE">
        <w:rPr>
          <w:lang w:val="en-GB"/>
        </w:rPr>
        <w:t xml:space="preserve"> allows the </w:t>
      </w:r>
      <w:r w:rsidRPr="00063D77">
        <w:rPr>
          <w:lang w:val="en-GB"/>
        </w:rPr>
        <w:t>handling of large quantities of material in simple equipment, requires inexpensi</w:t>
      </w:r>
      <w:r w:rsidR="00AB74FE">
        <w:rPr>
          <w:lang w:val="en-GB"/>
        </w:rPr>
        <w:t xml:space="preserve">ve solvents such as ethanol or </w:t>
      </w:r>
      <w:r w:rsidRPr="00063D77">
        <w:rPr>
          <w:lang w:val="en-GB"/>
        </w:rPr>
        <w:t>hexane, as well</w:t>
      </w:r>
      <w:r w:rsidR="001E2016">
        <w:rPr>
          <w:lang w:val="en-GB"/>
        </w:rPr>
        <w:t xml:space="preserve"> as milder conditions </w:t>
      </w:r>
      <w:r w:rsidR="001E2016" w:rsidRPr="009709AD">
        <w:rPr>
          <w:i/>
          <w:lang w:val="en-GB"/>
        </w:rPr>
        <w:t>(e.g.</w:t>
      </w:r>
      <w:r w:rsidR="001E2016">
        <w:rPr>
          <w:lang w:val="en-GB"/>
        </w:rPr>
        <w:t xml:space="preserve"> </w:t>
      </w:r>
      <w:r w:rsidRPr="00063D77">
        <w:rPr>
          <w:lang w:val="en-GB"/>
        </w:rPr>
        <w:t>temperature), the separation is more efficient than with other methods such as fractional cryst</w:t>
      </w:r>
      <w:r w:rsidR="00AB74FE">
        <w:rPr>
          <w:lang w:val="en-GB"/>
        </w:rPr>
        <w:t xml:space="preserve">allization or selective solvent </w:t>
      </w:r>
      <w:r w:rsidRPr="00063D77">
        <w:rPr>
          <w:lang w:val="en-GB"/>
        </w:rPr>
        <w:t>extraction, and the cost i</w:t>
      </w:r>
      <w:r w:rsidR="00AB74FE">
        <w:rPr>
          <w:lang w:val="en-GB"/>
        </w:rPr>
        <w:t>s lower</w:t>
      </w:r>
      <w:r w:rsidR="00961316">
        <w:rPr>
          <w:lang w:val="en-GB"/>
        </w:rPr>
        <w:t xml:space="preserve"> (</w:t>
      </w:r>
      <w:r w:rsidR="00961316">
        <w:t>Guil-Guerrero and Belarbi, 2001; Medina et al., 1995)</w:t>
      </w:r>
      <w:r w:rsidR="00AB74FE">
        <w:rPr>
          <w:lang w:val="en-GB"/>
        </w:rPr>
        <w:t xml:space="preserve">. Moreover, urea </w:t>
      </w:r>
      <w:r w:rsidRPr="00063D77">
        <w:rPr>
          <w:lang w:val="en-GB"/>
        </w:rPr>
        <w:t>complexation protect</w:t>
      </w:r>
      <w:r w:rsidR="001E2016">
        <w:rPr>
          <w:lang w:val="en-GB"/>
        </w:rPr>
        <w:t xml:space="preserve">s the omega </w:t>
      </w:r>
      <w:r w:rsidR="00AB74FE">
        <w:rPr>
          <w:lang w:val="en-GB"/>
        </w:rPr>
        <w:t xml:space="preserve">3-PUFA from autoxidation </w:t>
      </w:r>
      <w:r w:rsidRPr="00063D77">
        <w:rPr>
          <w:lang w:val="en-GB"/>
        </w:rPr>
        <w:t>(</w:t>
      </w:r>
      <w:r w:rsidR="00961316">
        <w:t>Shahidi and Wanasundara, 1998)</w:t>
      </w:r>
      <w:r w:rsidRPr="00063D77">
        <w:rPr>
          <w:lang w:val="en-GB"/>
        </w:rPr>
        <w:t>.</w:t>
      </w:r>
    </w:p>
    <w:p w14:paraId="1BAEFA15" w14:textId="7BCA1444" w:rsidR="00AB74FE" w:rsidRDefault="00063D77" w:rsidP="00AB74FE">
      <w:pPr>
        <w:pStyle w:val="CETBodytext"/>
        <w:rPr>
          <w:lang w:val="en-GB"/>
        </w:rPr>
      </w:pPr>
      <w:r w:rsidRPr="00063D77">
        <w:rPr>
          <w:lang w:val="en-GB"/>
        </w:rPr>
        <w:t xml:space="preserve">The present work aims at the </w:t>
      </w:r>
      <w:r w:rsidRPr="00AB74FE">
        <w:rPr>
          <w:i/>
          <w:lang w:val="en-GB"/>
        </w:rPr>
        <w:t>Crypthecodinium cohnii</w:t>
      </w:r>
      <w:r w:rsidR="000E2572">
        <w:rPr>
          <w:i/>
          <w:lang w:val="en-GB"/>
        </w:rPr>
        <w:t xml:space="preserve"> </w:t>
      </w:r>
      <w:r w:rsidR="00CA4B59">
        <w:rPr>
          <w:lang w:val="en-GB"/>
        </w:rPr>
        <w:t xml:space="preserve">oil fractionation, in order to obtain a </w:t>
      </w:r>
      <w:r w:rsidR="00CA4B59">
        <w:rPr>
          <w:lang w:val="en-GB"/>
        </w:rPr>
        <w:sym w:font="Symbol" w:char="F077"/>
      </w:r>
      <w:r w:rsidR="00CA4B59">
        <w:rPr>
          <w:lang w:val="en-GB"/>
        </w:rPr>
        <w:t>-3 rich lipidic fraction</w:t>
      </w:r>
      <w:r w:rsidR="00B54296">
        <w:rPr>
          <w:lang w:val="en-GB"/>
        </w:rPr>
        <w:t xml:space="preserve"> for pharmaceutical and food purposes</w:t>
      </w:r>
      <w:r w:rsidR="00D17042">
        <w:rPr>
          <w:lang w:val="en-GB"/>
        </w:rPr>
        <w:t xml:space="preserve">, </w:t>
      </w:r>
      <w:r w:rsidR="00CA4B59">
        <w:rPr>
          <w:lang w:val="en-GB"/>
        </w:rPr>
        <w:t xml:space="preserve">and </w:t>
      </w:r>
      <w:r w:rsidR="00D17042">
        <w:rPr>
          <w:lang w:val="en-GB"/>
        </w:rPr>
        <w:t xml:space="preserve">another </w:t>
      </w:r>
      <w:r w:rsidR="00CA4B59">
        <w:rPr>
          <w:lang w:val="en-GB"/>
        </w:rPr>
        <w:t xml:space="preserve">saturated/monounsaturated rich lipidic fraction, for biodiesel purposes, </w:t>
      </w:r>
      <w:r w:rsidRPr="00063D77">
        <w:rPr>
          <w:lang w:val="en-GB"/>
        </w:rPr>
        <w:t xml:space="preserve">using the rapid, inexpensive </w:t>
      </w:r>
      <w:r w:rsidR="001E2016">
        <w:rPr>
          <w:lang w:val="en-GB"/>
        </w:rPr>
        <w:t>urea complexation method</w:t>
      </w:r>
      <w:r w:rsidRPr="00063D77">
        <w:rPr>
          <w:lang w:val="en-GB"/>
        </w:rPr>
        <w:t>. It is k</w:t>
      </w:r>
      <w:r w:rsidR="00856019">
        <w:rPr>
          <w:lang w:val="en-GB"/>
        </w:rPr>
        <w:t>nown that</w:t>
      </w:r>
      <w:r w:rsidR="00D17042">
        <w:rPr>
          <w:lang w:val="en-GB"/>
        </w:rPr>
        <w:t xml:space="preserve"> the</w:t>
      </w:r>
      <w:r w:rsidRPr="00063D77">
        <w:rPr>
          <w:lang w:val="en-GB"/>
        </w:rPr>
        <w:t xml:space="preserve"> crystallization temperature strongly </w:t>
      </w:r>
      <w:r w:rsidR="00C503AF" w:rsidRPr="00C503AF">
        <w:rPr>
          <w:highlight w:val="green"/>
          <w:lang w:val="en-GB"/>
        </w:rPr>
        <w:t>influences</w:t>
      </w:r>
      <w:r w:rsidR="00AB74FE">
        <w:rPr>
          <w:lang w:val="en-GB"/>
        </w:rPr>
        <w:t xml:space="preserve"> the efficiency of DHA </w:t>
      </w:r>
      <w:r w:rsidRPr="00063D77">
        <w:rPr>
          <w:lang w:val="en-GB"/>
        </w:rPr>
        <w:t>purifica</w:t>
      </w:r>
      <w:r w:rsidR="00AB74FE">
        <w:rPr>
          <w:lang w:val="en-GB"/>
        </w:rPr>
        <w:t>tion process (</w:t>
      </w:r>
      <w:r w:rsidR="00961316">
        <w:t>Wanasundara and Shahidi, 1999)</w:t>
      </w:r>
      <w:r w:rsidR="00AB74FE">
        <w:rPr>
          <w:lang w:val="en-GB"/>
        </w:rPr>
        <w:t xml:space="preserve">. In this way, </w:t>
      </w:r>
      <w:r w:rsidRPr="00063D77">
        <w:rPr>
          <w:lang w:val="en-GB"/>
        </w:rPr>
        <w:t>different crystallization temperatures were used in order to achieve the best concentration and purification proce</w:t>
      </w:r>
      <w:r w:rsidR="00AB74FE">
        <w:rPr>
          <w:lang w:val="en-GB"/>
        </w:rPr>
        <w:t xml:space="preserve">ss efficiency. </w:t>
      </w:r>
    </w:p>
    <w:p w14:paraId="3AEBBD42" w14:textId="77777777" w:rsidR="00AB74FE" w:rsidRDefault="00AB74FE" w:rsidP="00AB74FE">
      <w:pPr>
        <w:pStyle w:val="CETBodytext"/>
        <w:rPr>
          <w:lang w:val="en-GB"/>
        </w:rPr>
      </w:pPr>
    </w:p>
    <w:p w14:paraId="3DEA375E" w14:textId="22BCAAA8" w:rsidR="006569A2" w:rsidRPr="006569A2" w:rsidRDefault="006569A2" w:rsidP="00AB74FE">
      <w:pPr>
        <w:pStyle w:val="CETHeading1"/>
      </w:pPr>
      <w:r w:rsidRPr="006569A2">
        <w:t>Materials and Methods</w:t>
      </w:r>
    </w:p>
    <w:p w14:paraId="7EF82B6D" w14:textId="77777777" w:rsidR="006569A2" w:rsidRDefault="006569A2" w:rsidP="003864EE">
      <w:pPr>
        <w:pStyle w:val="CETheadingx"/>
      </w:pPr>
      <w:r>
        <w:t>Growth conditions</w:t>
      </w:r>
    </w:p>
    <w:p w14:paraId="746C4D64" w14:textId="10A29A49" w:rsidR="006569A2" w:rsidRPr="003864EE" w:rsidRDefault="006569A2" w:rsidP="006569A2">
      <w:pPr>
        <w:pStyle w:val="CETBodytext"/>
      </w:pPr>
      <w:r w:rsidRPr="003864EE">
        <w:rPr>
          <w:i/>
        </w:rPr>
        <w:t>Crypthecodinium cohnii</w:t>
      </w:r>
      <w:r w:rsidR="001D656F" w:rsidRPr="003864EE">
        <w:t xml:space="preserve"> ATCC 30772</w:t>
      </w:r>
      <w:r w:rsidRPr="003864EE">
        <w:t xml:space="preserve"> </w:t>
      </w:r>
      <w:r w:rsidR="001434EF" w:rsidRPr="003864EE">
        <w:t>culture was</w:t>
      </w:r>
      <w:r w:rsidRPr="003864EE">
        <w:t xml:space="preserve"> grown </w:t>
      </w:r>
      <w:r w:rsidR="00DC54EF">
        <w:t>i</w:t>
      </w:r>
      <w:r w:rsidR="00DC54EF" w:rsidRPr="003864EE">
        <w:t>n</w:t>
      </w:r>
      <w:r w:rsidR="00DC54EF">
        <w:t xml:space="preserve"> </w:t>
      </w:r>
      <w:r w:rsidR="003864EE">
        <w:t>a</w:t>
      </w:r>
      <w:r w:rsidRPr="003864EE">
        <w:t xml:space="preserve"> </w:t>
      </w:r>
      <w:r w:rsidR="003864EE" w:rsidRPr="003864EE">
        <w:t>7L-bioreactor (Fermac 360, Electrolab Biotech, Tewkesbury, UK</w:t>
      </w:r>
      <w:r w:rsidR="005D260A" w:rsidRPr="003864EE">
        <w:t>)</w:t>
      </w:r>
      <w:r w:rsidR="005D260A">
        <w:t xml:space="preserve"> containing a growth medium using</w:t>
      </w:r>
      <w:r w:rsidR="001D656F" w:rsidRPr="003864EE">
        <w:t xml:space="preserve"> industrial glycerol (20 g/L) as </w:t>
      </w:r>
      <w:r w:rsidR="005D260A">
        <w:t>carbon source, at</w:t>
      </w:r>
      <w:r w:rsidR="005D260A" w:rsidRPr="003864EE">
        <w:t xml:space="preserve"> 120 rpm and 27 °C</w:t>
      </w:r>
      <w:r w:rsidR="005D260A">
        <w:t>,</w:t>
      </w:r>
      <w:r w:rsidR="005D260A" w:rsidRPr="003864EE" w:rsidDel="005D260A">
        <w:t xml:space="preserve"> </w:t>
      </w:r>
      <w:r w:rsidR="005D260A" w:rsidRPr="003864EE">
        <w:t>in the dark</w:t>
      </w:r>
      <w:r w:rsidR="005D260A" w:rsidRPr="003864EE" w:rsidDel="005D260A">
        <w:t xml:space="preserve"> </w:t>
      </w:r>
      <w:r w:rsidR="005D260A" w:rsidRPr="00961316">
        <w:t>(Moniz</w:t>
      </w:r>
      <w:r w:rsidR="00961316" w:rsidRPr="00961316">
        <w:t xml:space="preserve"> et al., </w:t>
      </w:r>
      <w:r w:rsidR="001D656F" w:rsidRPr="00961316">
        <w:t>2021)</w:t>
      </w:r>
      <w:r w:rsidRPr="00961316">
        <w:t>.</w:t>
      </w:r>
      <w:r w:rsidRPr="003864EE">
        <w:t xml:space="preserve"> Biomass was collected at the stationary phase (5 days) by </w:t>
      </w:r>
      <w:r w:rsidR="00C503AF">
        <w:t>centrifugation at 7000 rpm</w:t>
      </w:r>
      <w:r w:rsidRPr="003864EE">
        <w:t xml:space="preserve"> using </w:t>
      </w:r>
      <w:r w:rsidR="003864EE" w:rsidRPr="001E2016">
        <w:t>a</w:t>
      </w:r>
      <w:r w:rsidRPr="001E2016">
        <w:t xml:space="preserve"> </w:t>
      </w:r>
      <w:r w:rsidR="003864EE" w:rsidRPr="001E2016">
        <w:t>Sigma centrifuge, (</w:t>
      </w:r>
      <w:r w:rsidRPr="001E2016">
        <w:t>USA)</w:t>
      </w:r>
      <w:r w:rsidRPr="003864EE">
        <w:t xml:space="preserve"> for 15 min and then</w:t>
      </w:r>
      <w:r w:rsidR="003864EE" w:rsidRPr="003864EE">
        <w:t xml:space="preserve"> freeze dried</w:t>
      </w:r>
      <w:r w:rsidRPr="003864EE">
        <w:t xml:space="preserve"> </w:t>
      </w:r>
      <w:r w:rsidR="003864EE" w:rsidRPr="003864EE">
        <w:t xml:space="preserve">and </w:t>
      </w:r>
      <w:r w:rsidRPr="003864EE">
        <w:t>frozen for further experiments.</w:t>
      </w:r>
    </w:p>
    <w:p w14:paraId="718DD444" w14:textId="77777777" w:rsidR="006569A2" w:rsidRDefault="006569A2" w:rsidP="006569A2">
      <w:pPr>
        <w:pStyle w:val="CETBodytext"/>
      </w:pPr>
    </w:p>
    <w:p w14:paraId="79E1EFAF" w14:textId="694AB1A4" w:rsidR="006569A2" w:rsidRDefault="006569A2" w:rsidP="003864EE">
      <w:pPr>
        <w:pStyle w:val="CETheadingx"/>
      </w:pPr>
      <w:r>
        <w:lastRenderedPageBreak/>
        <w:t>Saponification and transmetylation</w:t>
      </w:r>
    </w:p>
    <w:p w14:paraId="48AA238E" w14:textId="06199A70" w:rsidR="006569A2" w:rsidRDefault="001434EF" w:rsidP="006569A2">
      <w:pPr>
        <w:pStyle w:val="CETBodytext"/>
      </w:pPr>
      <w:r>
        <w:t>A volume of 1190</w:t>
      </w:r>
      <w:r w:rsidR="006569A2">
        <w:t xml:space="preserve"> mL of ethanol 96 % (by volume) </w:t>
      </w:r>
      <w:r>
        <w:t>and 2</w:t>
      </w:r>
      <w:r w:rsidR="006569A2">
        <w:t>5 g of KOH were</w:t>
      </w:r>
      <w:r>
        <w:t xml:space="preserve"> added to 10 g of dry</w:t>
      </w:r>
      <w:r w:rsidR="006569A2">
        <w:t xml:space="preserve"> biomass. The mixture was incubated in an orbital shaker at 100 rpm and 2</w:t>
      </w:r>
      <w:r>
        <w:t>0 °C</w:t>
      </w:r>
      <w:r w:rsidR="005D260A">
        <w:t>,</w:t>
      </w:r>
      <w:r>
        <w:t xml:space="preserve"> overnight. Afterwards, 107</w:t>
      </w:r>
      <w:r w:rsidR="006569A2">
        <w:t xml:space="preserve"> mL of distilled water</w:t>
      </w:r>
      <w:r w:rsidR="00A53A9E">
        <w:t xml:space="preserve"> were added, followed by </w:t>
      </w:r>
      <w:r w:rsidR="00A53A9E" w:rsidRPr="00A53A9E">
        <w:rPr>
          <w:highlight w:val="green"/>
        </w:rPr>
        <w:t>five</w:t>
      </w:r>
      <w:r w:rsidR="006569A2" w:rsidRPr="00A53A9E">
        <w:rPr>
          <w:highlight w:val="green"/>
        </w:rPr>
        <w:t xml:space="preserve"> hexane extractions (5</w:t>
      </w:r>
      <w:r w:rsidR="00C503AF" w:rsidRPr="00A53A9E">
        <w:rPr>
          <w:highlight w:val="green"/>
        </w:rPr>
        <w:t>x</w:t>
      </w:r>
      <w:r w:rsidR="006569A2" w:rsidRPr="00A53A9E">
        <w:rPr>
          <w:highlight w:val="green"/>
        </w:rPr>
        <w:t>2</w:t>
      </w:r>
      <w:r w:rsidRPr="00A53A9E">
        <w:rPr>
          <w:highlight w:val="green"/>
        </w:rPr>
        <w:t>13</w:t>
      </w:r>
      <w:r w:rsidR="006569A2" w:rsidRPr="00A53A9E">
        <w:rPr>
          <w:highlight w:val="green"/>
        </w:rPr>
        <w:t xml:space="preserve"> mL</w:t>
      </w:r>
      <w:r w:rsidR="006569A2">
        <w:t xml:space="preserve">) in order to separate the </w:t>
      </w:r>
      <w:r w:rsidR="005D260A">
        <w:t>unsaponifiable fraction</w:t>
      </w:r>
      <w:r w:rsidR="006569A2">
        <w:t xml:space="preserve">. The hydroalcoholic phase, containing the soaps, was acidified to pH=1 by the addition of hydrochloride solution (1:1 by volume, HCl 37 % Merck, Darmstadt, Germany). Then the </w:t>
      </w:r>
      <w:r>
        <w:t>free fatty acids (</w:t>
      </w:r>
      <w:r w:rsidR="006569A2">
        <w:t>FFA</w:t>
      </w:r>
      <w:r>
        <w:t>)</w:t>
      </w:r>
      <w:r w:rsidR="006569A2">
        <w:t xml:space="preserve"> were recov</w:t>
      </w:r>
      <w:r w:rsidR="00A53A9E">
        <w:t xml:space="preserve">ered by </w:t>
      </w:r>
      <w:r w:rsidR="00A53A9E" w:rsidRPr="00A53A9E">
        <w:rPr>
          <w:highlight w:val="green"/>
        </w:rPr>
        <w:t>eight</w:t>
      </w:r>
      <w:r w:rsidR="00C503AF" w:rsidRPr="00A53A9E">
        <w:rPr>
          <w:highlight w:val="green"/>
        </w:rPr>
        <w:t xml:space="preserve"> extractions (8x</w:t>
      </w:r>
      <w:r w:rsidRPr="00A53A9E">
        <w:rPr>
          <w:highlight w:val="green"/>
        </w:rPr>
        <w:t>1</w:t>
      </w:r>
      <w:r w:rsidR="006569A2" w:rsidRPr="00A53A9E">
        <w:rPr>
          <w:highlight w:val="green"/>
        </w:rPr>
        <w:t xml:space="preserve">00 </w:t>
      </w:r>
      <w:r w:rsidR="006569A2" w:rsidRPr="00C503AF">
        <w:rPr>
          <w:highlight w:val="green"/>
        </w:rPr>
        <w:t>mL</w:t>
      </w:r>
      <w:r w:rsidR="006569A2">
        <w:t>) with hexane. The organic phase, containing the FFA, was dried with anhydrous sodium sulphate, and the solvent was evaporated in a vacuum rotary evaporato</w:t>
      </w:r>
      <w:r>
        <w:t xml:space="preserve">r at 35 °C. The FFAs were then </w:t>
      </w:r>
      <w:r w:rsidR="006569A2">
        <w:t xml:space="preserve">ethylated </w:t>
      </w:r>
      <w:r w:rsidR="006569A2" w:rsidRPr="001E2016">
        <w:t xml:space="preserve">according </w:t>
      </w:r>
      <w:r w:rsidR="006569A2" w:rsidRPr="00961316">
        <w:t xml:space="preserve">to </w:t>
      </w:r>
      <w:r w:rsidR="00961316" w:rsidRPr="00961316">
        <w:t>Khozin-Goldberg et al.</w:t>
      </w:r>
      <w:r w:rsidR="00961316">
        <w:t xml:space="preserve"> (1999</w:t>
      </w:r>
      <w:r w:rsidR="006569A2" w:rsidRPr="001E2016">
        <w:t xml:space="preserve">), with </w:t>
      </w:r>
      <w:r w:rsidR="006569A2">
        <w:t xml:space="preserve">modifications, </w:t>
      </w:r>
      <w:r>
        <w:t xml:space="preserve">by adding the </w:t>
      </w:r>
      <w:r w:rsidR="006569A2">
        <w:t xml:space="preserve">ethylation mixture of </w:t>
      </w:r>
      <w:r>
        <w:t xml:space="preserve">200 mL of </w:t>
      </w:r>
      <w:r w:rsidR="006569A2">
        <w:t>ethanol (Merck, Darmstadt, Germany) and</w:t>
      </w:r>
      <w:r>
        <w:t xml:space="preserve"> 4 ml of</w:t>
      </w:r>
      <w:r w:rsidR="006569A2">
        <w:t xml:space="preserve"> </w:t>
      </w:r>
      <w:r w:rsidR="006569A2" w:rsidRPr="00961316">
        <w:t>H</w:t>
      </w:r>
      <w:r w:rsidR="006569A2" w:rsidRPr="00961316">
        <w:rPr>
          <w:vertAlign w:val="subscript"/>
        </w:rPr>
        <w:t>2</w:t>
      </w:r>
      <w:r w:rsidR="006569A2" w:rsidRPr="00961316">
        <w:t>SO</w:t>
      </w:r>
      <w:r w:rsidR="006569A2" w:rsidRPr="00961316">
        <w:rPr>
          <w:vertAlign w:val="subscript"/>
        </w:rPr>
        <w:t>4</w:t>
      </w:r>
      <w:r w:rsidR="006569A2" w:rsidRPr="00961316">
        <w:t xml:space="preserve"> (Merck, Darmstadt, Germa</w:t>
      </w:r>
      <w:r w:rsidRPr="00961316">
        <w:t xml:space="preserve">ny) </w:t>
      </w:r>
      <w:r w:rsidR="006569A2" w:rsidRPr="00961316">
        <w:t xml:space="preserve">and heating at 80 °C for 1 hour. After cooling to room temperature, </w:t>
      </w:r>
      <w:r w:rsidR="009E4E22" w:rsidRPr="00961316">
        <w:t>100</w:t>
      </w:r>
      <w:r w:rsidR="006569A2" w:rsidRPr="00961316">
        <w:t xml:space="preserve"> mL of water</w:t>
      </w:r>
      <w:r w:rsidR="006569A2">
        <w:t xml:space="preserve"> and the same volume of hexane were added and the upper hexane layer</w:t>
      </w:r>
      <w:r w:rsidR="005D260A">
        <w:t>, containing the ethyl esters,</w:t>
      </w:r>
      <w:r w:rsidR="006569A2">
        <w:t xml:space="preserve"> was removed and dried with anhydrous sodium sulphate. The solvent was evaporated in a vacuum rotary evaporator at 35 °C and </w:t>
      </w:r>
      <w:r w:rsidR="001E2016">
        <w:t xml:space="preserve">2 mL of </w:t>
      </w:r>
      <w:r w:rsidR="00531332">
        <w:t>hexane was added</w:t>
      </w:r>
      <w:r w:rsidR="006569A2">
        <w:t>.</w:t>
      </w:r>
    </w:p>
    <w:p w14:paraId="78D68FCF" w14:textId="77777777" w:rsidR="006569A2" w:rsidRDefault="006569A2" w:rsidP="006569A2">
      <w:pPr>
        <w:pStyle w:val="CETBodytext"/>
      </w:pPr>
    </w:p>
    <w:p w14:paraId="4222E96F" w14:textId="68ED760C" w:rsidR="006569A2" w:rsidRDefault="006569A2" w:rsidP="003864EE">
      <w:pPr>
        <w:pStyle w:val="CETheadingx"/>
      </w:pPr>
      <w:r>
        <w:t>Fatty acid analysis</w:t>
      </w:r>
    </w:p>
    <w:p w14:paraId="42B7EDBF" w14:textId="44696E64" w:rsidR="00F308BA" w:rsidRDefault="00F308BA" w:rsidP="00F308BA">
      <w:pPr>
        <w:pStyle w:val="CETBodytext"/>
      </w:pPr>
      <w:r w:rsidRPr="00F308BA">
        <w:rPr>
          <w:i/>
        </w:rPr>
        <w:t>C. cohnii</w:t>
      </w:r>
      <w:r>
        <w:t xml:space="preserve"> lipids were extracted according to the following protocol: The microalgal biomass collected after the broth centrifugation was freeze-dried (Heto PowerDry LL3000 Freeze Dryer, Thermo Scientific, USA, coupled with a vacuum pump from Vacuubrand, Germany). Approximately 100mg of freeze-dried </w:t>
      </w:r>
      <w:r w:rsidR="005526C4">
        <w:t>biomass and/</w:t>
      </w:r>
      <w:r>
        <w:t>or algal oil derived from urea complexation process were transferred to a vial under nitrogen atmosp</w:t>
      </w:r>
      <w:r w:rsidR="005526C4">
        <w:t>here and transmethylated at 80 º</w:t>
      </w:r>
      <w:r>
        <w:t>C for 1h, with 2mL of a methanol/acetyl chloride mixture (95:5 v/v) and 0.2 mL of hep</w:t>
      </w:r>
      <w:r w:rsidR="005526C4">
        <w:t xml:space="preserve">tadecanoic acid (17:0) (5mg/mL </w:t>
      </w:r>
      <w:r>
        <w:t xml:space="preserve">petroleum ether, boiling point 80-100°C) as an internal standard. Afterwards, the vial contents were </w:t>
      </w:r>
      <w:r w:rsidR="008F01E1">
        <w:t>cooled</w:t>
      </w:r>
      <w:r>
        <w:t xml:space="preserve"> diluted with 1mL water and the lipids were extracted with 2mL of n-heptane. The organic phase was separated from the aqueous phase, dried using sodium sulphate (Na</w:t>
      </w:r>
      <w:r w:rsidRPr="005526C4">
        <w:rPr>
          <w:vertAlign w:val="subscript"/>
        </w:rPr>
        <w:t>2</w:t>
      </w:r>
      <w:r>
        <w:t>SO</w:t>
      </w:r>
      <w:r w:rsidRPr="005526C4">
        <w:rPr>
          <w:vertAlign w:val="subscript"/>
        </w:rPr>
        <w:t>4</w:t>
      </w:r>
      <w:r>
        <w:t>) and placed in a vial adequate for gas chromatography analysis.</w:t>
      </w:r>
    </w:p>
    <w:p w14:paraId="316BE9F6" w14:textId="0CA4ED53" w:rsidR="006569A2" w:rsidRPr="001E2016" w:rsidRDefault="00F308BA" w:rsidP="00F308BA">
      <w:pPr>
        <w:pStyle w:val="CETBodytext"/>
      </w:pPr>
      <w:r>
        <w:t>The methyl</w:t>
      </w:r>
      <w:r w:rsidR="005526C4">
        <w:t>/ethyl</w:t>
      </w:r>
      <w:r>
        <w:t xml:space="preserve"> esters were then analyzed by gas–liquid chromatography, on a Bruker Scion 436-GC (Germany) equipped with a flame ionization detector. Separation was carried out on a 0.32 mm × 30 m fused silica capillary column (film 0.32 mm) Supelcowax 10 (Supelco, Bellafonte, Palo Alto, CA, USA) with helium as a carrier gas, at a flow rate of 3.5 mL/min. The column temperature was programmed at an initial temperature of 200°C for 8 min, then increased at 4 °C/min to 240</w:t>
      </w:r>
      <w:r w:rsidR="006825AD">
        <w:t xml:space="preserve"> </w:t>
      </w:r>
      <w:r w:rsidR="005D260A">
        <w:sym w:font="Symbol" w:char="F0B0"/>
      </w:r>
      <w:r>
        <w:t xml:space="preserve">C and held there for 16 min. Injector and detector temperatures were 250 </w:t>
      </w:r>
      <w:r w:rsidR="005D260A">
        <w:sym w:font="Symbol" w:char="F0B0"/>
      </w:r>
      <w:r>
        <w:t xml:space="preserve">C and 280 </w:t>
      </w:r>
      <w:r w:rsidR="005D260A">
        <w:sym w:font="Symbol" w:char="F0B0"/>
      </w:r>
      <w:r>
        <w:t xml:space="preserve">C, respectively, and the split ratio was 1:50 for 5 min and then 1:10 for the remaining time. The column pressure was 13.5 psi. Peak identification and response factor calculation were carried out using known standards (GLC 459 and GLC 463, Nu-chek-Prep, USA) The quantities of individual fatty acids were calculated from the peak areas on the chromatogram using heptadecanoic acid (17:0) as the internal standard. Each sample was prepared </w:t>
      </w:r>
      <w:r w:rsidR="005526C4">
        <w:t>in duplicate and injected twice</w:t>
      </w:r>
      <w:r w:rsidR="001E2016">
        <w:t xml:space="preserve"> </w:t>
      </w:r>
      <w:r w:rsidR="005526C4" w:rsidRPr="00961316">
        <w:t>(</w:t>
      </w:r>
      <w:r w:rsidR="001E2016" w:rsidRPr="00961316">
        <w:t>Taborda et al</w:t>
      </w:r>
      <w:r w:rsidR="00531332" w:rsidRPr="00961316">
        <w:t>.</w:t>
      </w:r>
      <w:r w:rsidR="00961316" w:rsidRPr="00961316">
        <w:t>,</w:t>
      </w:r>
      <w:r w:rsidR="005526C4" w:rsidRPr="00961316">
        <w:t xml:space="preserve"> 2020)</w:t>
      </w:r>
    </w:p>
    <w:p w14:paraId="36FDE10F" w14:textId="77777777" w:rsidR="00531332" w:rsidRDefault="00531332" w:rsidP="006569A2">
      <w:pPr>
        <w:pStyle w:val="CETBodytext"/>
      </w:pPr>
    </w:p>
    <w:p w14:paraId="4849A4E7" w14:textId="28434013" w:rsidR="006569A2" w:rsidRDefault="006569A2" w:rsidP="00531332">
      <w:pPr>
        <w:pStyle w:val="CETheadingx"/>
      </w:pPr>
      <w:r>
        <w:t>Urea complexation</w:t>
      </w:r>
    </w:p>
    <w:p w14:paraId="01FC4F8E" w14:textId="33E3E7A9" w:rsidR="006569A2" w:rsidRDefault="006569A2" w:rsidP="006569A2">
      <w:pPr>
        <w:pStyle w:val="CETBodytext"/>
      </w:pPr>
      <w:r>
        <w:t xml:space="preserve">Based on previous GC analysis </w:t>
      </w:r>
      <w:r w:rsidR="009E4E22">
        <w:t>of lipid</w:t>
      </w:r>
      <w:r w:rsidR="001E2016">
        <w:t xml:space="preserve"> fraction containing </w:t>
      </w:r>
      <w:r>
        <w:t>methyl ester</w:t>
      </w:r>
      <w:r w:rsidR="001E2016">
        <w:t>s,</w:t>
      </w:r>
      <w:r>
        <w:t xml:space="preserve"> </w:t>
      </w:r>
      <w:r w:rsidR="00F15223">
        <w:t>150 µL of the fatty acids</w:t>
      </w:r>
      <w:r w:rsidR="009E4E22">
        <w:t xml:space="preserve"> fraction and 50 mL of </w:t>
      </w:r>
      <w:r>
        <w:t xml:space="preserve">ethanol were added to </w:t>
      </w:r>
      <w:r w:rsidR="009E4E22">
        <w:t>1.30</w:t>
      </w:r>
      <w:r>
        <w:t xml:space="preserve"> g of urea</w:t>
      </w:r>
      <w:r w:rsidR="001E2016">
        <w:t>,</w:t>
      </w:r>
      <w:r>
        <w:t xml:space="preserve"> in order to achieve </w:t>
      </w:r>
      <w:r w:rsidR="005526C4">
        <w:t>an</w:t>
      </w:r>
      <w:r>
        <w:t xml:space="preserve"> ur</w:t>
      </w:r>
      <w:r w:rsidR="00F15223">
        <w:t>ea/fatty acid ratio of 3.5</w:t>
      </w:r>
      <w:r w:rsidR="001E2016">
        <w:t xml:space="preserve"> (by mass)</w:t>
      </w:r>
      <w:r w:rsidR="0083624D">
        <w:t>, according to Mendes et al. (2007)</w:t>
      </w:r>
      <w:r w:rsidR="001E2016">
        <w:t>. This</w:t>
      </w:r>
      <w:r w:rsidR="009E4E22" w:rsidRPr="001E2016">
        <w:t xml:space="preserve"> </w:t>
      </w:r>
      <w:r w:rsidRPr="001E2016">
        <w:t xml:space="preserve">ethanol/urea </w:t>
      </w:r>
      <w:r w:rsidR="009E4E22" w:rsidRPr="001E2016">
        <w:t>ratio</w:t>
      </w:r>
      <w:r w:rsidRPr="001E2016">
        <w:t xml:space="preserve"> allowed a homogeneous and clear mixing of</w:t>
      </w:r>
      <w:r w:rsidR="009E4E22" w:rsidRPr="001E2016">
        <w:t xml:space="preserve"> </w:t>
      </w:r>
      <w:r w:rsidRPr="001E2016">
        <w:t xml:space="preserve">ethyl esters with urea. The mixture was heated </w:t>
      </w:r>
      <w:r>
        <w:t>at 60–65 °C and stirred until the solution became clear. The urea complexes were obtained by cooling the solution at different t</w:t>
      </w:r>
      <w:r w:rsidR="009E4E22">
        <w:t>emperatures (-30</w:t>
      </w:r>
      <w:r>
        <w:t>,</w:t>
      </w:r>
      <w:r w:rsidR="001E2016">
        <w:t xml:space="preserve"> -18, 5</w:t>
      </w:r>
      <w:r>
        <w:t xml:space="preserve"> °C) overnight, followed by </w:t>
      </w:r>
      <w:r w:rsidR="009E4E22">
        <w:t>a filtration</w:t>
      </w:r>
      <w:r>
        <w:t>, in order to separate the urea complexing from the non-urea compl</w:t>
      </w:r>
      <w:r w:rsidR="001E2016">
        <w:t>exing fractions. A volume of 1</w:t>
      </w:r>
      <w:r>
        <w:t xml:space="preserve"> mL of distilled water at 60 °C was added to both fractions and vortexed, followed by the </w:t>
      </w:r>
      <w:r w:rsidR="00F15223">
        <w:t xml:space="preserve">addition of 1 mL of hexane </w:t>
      </w:r>
      <w:r>
        <w:t xml:space="preserve">to extract the methyl esters. The hexane phases from both fractions (urea complexing and non-complexing) were collected and evaporated under nitrogen atmosphere for further GC analysis. </w:t>
      </w:r>
      <w:r w:rsidR="000B248C">
        <w:t>Heptadecanoic acid (17:0)</w:t>
      </w:r>
      <w:r>
        <w:t xml:space="preserve"> ester was added as internal st</w:t>
      </w:r>
      <w:r w:rsidR="00E6116D">
        <w:t>anda</w:t>
      </w:r>
      <w:r w:rsidR="00FB6C09">
        <w:t xml:space="preserve">rd, as previously </w:t>
      </w:r>
      <w:r w:rsidR="00FB6C09" w:rsidRPr="00961316">
        <w:t>described (Taborda et al</w:t>
      </w:r>
      <w:r w:rsidR="00961316" w:rsidRPr="00961316">
        <w:t>.,</w:t>
      </w:r>
      <w:r w:rsidR="00FB6C09" w:rsidRPr="00961316">
        <w:t xml:space="preserve"> 2020</w:t>
      </w:r>
      <w:r w:rsidR="00E6116D" w:rsidRPr="00961316">
        <w:t>)</w:t>
      </w:r>
      <w:r w:rsidR="000B248C" w:rsidRPr="00961316">
        <w:t>.</w:t>
      </w:r>
    </w:p>
    <w:p w14:paraId="3A222EC3" w14:textId="77777777" w:rsidR="006569A2" w:rsidRDefault="006569A2" w:rsidP="006569A2">
      <w:pPr>
        <w:pStyle w:val="CETBodytext"/>
      </w:pPr>
    </w:p>
    <w:p w14:paraId="19C4FC68" w14:textId="2E342101" w:rsidR="004628D2" w:rsidRDefault="003E3FEF" w:rsidP="00F15223">
      <w:pPr>
        <w:pStyle w:val="CETHeading1"/>
      </w:pPr>
      <w:r>
        <w:t>Results</w:t>
      </w:r>
    </w:p>
    <w:p w14:paraId="20E2E454" w14:textId="77777777" w:rsidR="00F15223" w:rsidRPr="00F15223" w:rsidRDefault="00F15223" w:rsidP="00F15223">
      <w:pPr>
        <w:pStyle w:val="CETBodytext"/>
      </w:pPr>
    </w:p>
    <w:p w14:paraId="0FF0E368" w14:textId="77777777" w:rsidR="006D4396" w:rsidRDefault="006D4396" w:rsidP="006D4396">
      <w:pPr>
        <w:pStyle w:val="CETheadingx"/>
        <w:rPr>
          <w:rFonts w:asciiTheme="minorHAnsi" w:hAnsiTheme="minorHAnsi"/>
          <w:sz w:val="22"/>
        </w:rPr>
      </w:pPr>
      <w:r>
        <w:t>Fatty acids ethylation and profile characterization</w:t>
      </w:r>
    </w:p>
    <w:p w14:paraId="2750C55B" w14:textId="7D9DE9B9" w:rsidR="006D4396" w:rsidRDefault="006D4396" w:rsidP="006D4396">
      <w:pPr>
        <w:pStyle w:val="CETBodytext"/>
      </w:pPr>
      <w:r>
        <w:t xml:space="preserve">After cell growth and </w:t>
      </w:r>
      <w:r w:rsidR="002A00B3">
        <w:t>collection,</w:t>
      </w:r>
      <w:r>
        <w:t xml:space="preserve"> the fatty acids present in </w:t>
      </w:r>
      <w:r>
        <w:rPr>
          <w:i/>
        </w:rPr>
        <w:t>C. cohnii</w:t>
      </w:r>
      <w:r>
        <w:t xml:space="preserve"> biomass were subjected to ethylation</w:t>
      </w:r>
      <w:r w:rsidR="0083624D">
        <w:t>,</w:t>
      </w:r>
      <w:r>
        <w:t xml:space="preserve"> in order to obtain</w:t>
      </w:r>
      <w:r w:rsidR="006825AD">
        <w:t xml:space="preserve"> </w:t>
      </w:r>
      <w:r w:rsidR="0083624D">
        <w:t>the corresponding fatty acid ethyl esters (FAEE), that were further quantified.</w:t>
      </w:r>
    </w:p>
    <w:p w14:paraId="60AFECDA" w14:textId="0CCA11F4" w:rsidR="006D4396" w:rsidRDefault="006D4396" w:rsidP="006D4396">
      <w:pPr>
        <w:pStyle w:val="CETBodytext"/>
      </w:pPr>
      <w:r>
        <w:t>Ethylated fatty acids were characterized and the ethyl esters obtained are shown in</w:t>
      </w:r>
      <w:r w:rsidR="008C5A9E">
        <w:t xml:space="preserve"> Figure 2.</w:t>
      </w:r>
    </w:p>
    <w:p w14:paraId="0297FA02" w14:textId="102CC20D" w:rsidR="003E3FEF" w:rsidRPr="00965D0A" w:rsidRDefault="00793B1D" w:rsidP="006D4396">
      <w:pPr>
        <w:pStyle w:val="CETBodytext"/>
        <w:rPr>
          <w:color w:val="FFFFFF" w:themeColor="background1"/>
          <w:sz w:val="14"/>
          <w:szCs w:val="14"/>
          <w14:textFill>
            <w14:noFill/>
          </w14:textFill>
        </w:rPr>
      </w:pPr>
      <w:r>
        <w:rPr>
          <w:noProof/>
          <w:lang w:val="pt-PT" w:eastAsia="pt-PT"/>
        </w:rPr>
        <w:lastRenderedPageBreak/>
        <w:drawing>
          <wp:inline distT="0" distB="0" distL="0" distR="0" wp14:anchorId="72B76D78" wp14:editId="2410E408">
            <wp:extent cx="3719015" cy="2318385"/>
            <wp:effectExtent l="19050" t="0" r="34290" b="5715"/>
            <wp:docPr id="1" name="Char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EC4CA9">
        <w:rPr>
          <w:color w:val="FFFFFF" w:themeColor="background1"/>
          <w:sz w:val="14"/>
          <w:szCs w:val="14"/>
          <w14:textFill>
            <w14:noFill/>
          </w14:textFill>
        </w:rPr>
        <w:t>43</w:t>
      </w:r>
    </w:p>
    <w:p w14:paraId="3F34CAA6" w14:textId="099CD28F" w:rsidR="006D4396" w:rsidRDefault="008C5A9E" w:rsidP="006D4396">
      <w:pPr>
        <w:pStyle w:val="CETCaption"/>
      </w:pPr>
      <w:r>
        <w:t>Figure 2</w:t>
      </w:r>
      <w:r w:rsidR="002A00B3">
        <w:t xml:space="preserve"> – Fatty acid ethyl esters/</w:t>
      </w:r>
      <w:r w:rsidR="006D4396">
        <w:t xml:space="preserve">total fatty acids (w/w) present in </w:t>
      </w:r>
      <w:r w:rsidR="006D4396" w:rsidRPr="008C5A9E">
        <w:t>C</w:t>
      </w:r>
      <w:r w:rsidR="006D4396">
        <w:t>. cohnii</w:t>
      </w:r>
      <w:r w:rsidR="002A00B3">
        <w:t xml:space="preserve"> </w:t>
      </w:r>
      <w:r w:rsidR="002A00B3">
        <w:rPr>
          <w:i w:val="0"/>
        </w:rPr>
        <w:t>oil</w:t>
      </w:r>
      <w:r w:rsidR="006D4396">
        <w:t xml:space="preserve">. </w:t>
      </w:r>
    </w:p>
    <w:p w14:paraId="674F14B9" w14:textId="77777777" w:rsidR="006D4396" w:rsidRPr="006D4396" w:rsidRDefault="006D4396" w:rsidP="006D4396">
      <w:pPr>
        <w:pStyle w:val="CETBodytext"/>
        <w:rPr>
          <w:lang w:val="en-GB"/>
        </w:rPr>
      </w:pPr>
    </w:p>
    <w:p w14:paraId="5FDAF5EA" w14:textId="6902D52D" w:rsidR="006D4396" w:rsidRPr="00C503AF" w:rsidRDefault="006D4396" w:rsidP="006D4396">
      <w:pPr>
        <w:pStyle w:val="CETBodytext"/>
        <w:rPr>
          <w:highlight w:val="green"/>
        </w:rPr>
      </w:pPr>
      <w:r>
        <w:t>DHA ethyl ester was the ma</w:t>
      </w:r>
      <w:r w:rsidR="00937C7E">
        <w:t>in fatty acid obtained (38.3</w:t>
      </w:r>
      <w:r w:rsidR="000E2572">
        <w:t xml:space="preserve">%). </w:t>
      </w:r>
      <w:r>
        <w:t xml:space="preserve">Others fatty acids that showed significant concentrations were the ethyl esters </w:t>
      </w:r>
      <w:r w:rsidRPr="00C503AF">
        <w:rPr>
          <w:highlight w:val="green"/>
        </w:rPr>
        <w:t xml:space="preserve">16:0 (21%), 14:0 </w:t>
      </w:r>
      <w:r w:rsidR="00FB6FD2">
        <w:rPr>
          <w:highlight w:val="green"/>
        </w:rPr>
        <w:t xml:space="preserve">(15%) and </w:t>
      </w:r>
      <w:r w:rsidRPr="00C503AF">
        <w:rPr>
          <w:highlight w:val="green"/>
        </w:rPr>
        <w:t>18:1</w:t>
      </w:r>
      <w:r w:rsidRPr="00C503AF">
        <w:rPr>
          <w:rFonts w:ascii="Cambria Math" w:hAnsi="Cambria Math" w:cs="Cambria Math"/>
          <w:highlight w:val="green"/>
        </w:rPr>
        <w:t>ꙍ</w:t>
      </w:r>
      <w:r w:rsidRPr="00C503AF">
        <w:rPr>
          <w:highlight w:val="green"/>
        </w:rPr>
        <w:t>9 (11%).</w:t>
      </w:r>
    </w:p>
    <w:p w14:paraId="1F654A0F" w14:textId="27F60F83" w:rsidR="003E3FEF" w:rsidRDefault="006D4396" w:rsidP="006D4396">
      <w:pPr>
        <w:pStyle w:val="CETBodytext"/>
      </w:pPr>
      <w:r w:rsidRPr="00C503AF">
        <w:rPr>
          <w:highlight w:val="green"/>
        </w:rPr>
        <w:t xml:space="preserve">The FAEE that resulted in the lowest percentages were </w:t>
      </w:r>
      <w:r w:rsidR="00FB6FD2">
        <w:rPr>
          <w:highlight w:val="green"/>
        </w:rPr>
        <w:t xml:space="preserve">those referring to fatty acids 10:0 (1.7%), </w:t>
      </w:r>
      <w:r w:rsidR="004E6062" w:rsidRPr="00C503AF">
        <w:rPr>
          <w:highlight w:val="green"/>
        </w:rPr>
        <w:t>14:1 (0.36%), 16</w:t>
      </w:r>
      <w:r w:rsidRPr="00C503AF">
        <w:rPr>
          <w:highlight w:val="green"/>
        </w:rPr>
        <w:t>:1</w:t>
      </w:r>
      <w:r w:rsidRPr="00C503AF">
        <w:rPr>
          <w:rFonts w:ascii="Cambria Math" w:hAnsi="Cambria Math" w:cs="Cambria Math"/>
          <w:highlight w:val="green"/>
        </w:rPr>
        <w:t>ꙍ</w:t>
      </w:r>
      <w:r w:rsidR="00FB6FD2">
        <w:rPr>
          <w:highlight w:val="green"/>
        </w:rPr>
        <w:t xml:space="preserve">9 (0.94%) and </w:t>
      </w:r>
      <w:r w:rsidR="002A00B3" w:rsidRPr="00C503AF">
        <w:rPr>
          <w:highlight w:val="green"/>
        </w:rPr>
        <w:t>18:0 (</w:t>
      </w:r>
      <w:r w:rsidRPr="00C503AF">
        <w:rPr>
          <w:highlight w:val="green"/>
        </w:rPr>
        <w:t>1.2%).</w:t>
      </w:r>
    </w:p>
    <w:p w14:paraId="4E81F970" w14:textId="6B4B1C9F" w:rsidR="003E3FEF" w:rsidRDefault="003E3FEF" w:rsidP="006569A2">
      <w:pPr>
        <w:pStyle w:val="CETBodytext"/>
      </w:pPr>
    </w:p>
    <w:p w14:paraId="0F100361" w14:textId="77777777" w:rsidR="006D4396" w:rsidRDefault="006D4396" w:rsidP="006D4396">
      <w:pPr>
        <w:pStyle w:val="CETheadingx"/>
      </w:pPr>
      <w:r>
        <w:t>Urea Complexation</w:t>
      </w:r>
    </w:p>
    <w:p w14:paraId="745E4912" w14:textId="0A0CACAF" w:rsidR="006D4396" w:rsidRDefault="006D4396" w:rsidP="006D4396">
      <w:pPr>
        <w:pStyle w:val="CETBodytext"/>
      </w:pPr>
      <w:r>
        <w:t xml:space="preserve">Urea alone crystallizes in a tightly packed tetragonal structure with channels of 5.67 Å diameter. However, in the presence of </w:t>
      </w:r>
      <w:bookmarkStart w:id="2" w:name="_Hlk94629434"/>
      <w:r>
        <w:t>long straight-chain molecules</w:t>
      </w:r>
      <w:bookmarkEnd w:id="2"/>
      <w:r w:rsidR="0083624D">
        <w:t>,</w:t>
      </w:r>
      <w:r>
        <w:t xml:space="preserve"> it crystallizes in a hexagonal structure with channels of 8–12 Å diameter within the hexagonal crystals. </w:t>
      </w:r>
      <w:r w:rsidR="0083624D">
        <w:t xml:space="preserve">the urea </w:t>
      </w:r>
      <w:r>
        <w:t xml:space="preserve">channels are sufficiently large to accommodate aliphatic chains. The presence of double bonds in the carbon chain increases the bulk of the molecule and reduces the likelihood of its complexation with urea, thus monoenes are more readily complexed as compared to dienes, which, in turn, are more readily complexed than trienes </w:t>
      </w:r>
      <w:r w:rsidR="005F2533">
        <w:t>(Shahidi and Wanasundara, 1998; Zhu et al., 2000)</w:t>
      </w:r>
      <w:r>
        <w:t xml:space="preserve">. This explains why a large fraction of saturated and monounsaturated fatty acids are incorporated in the </w:t>
      </w:r>
      <w:r w:rsidR="005526C4">
        <w:t xml:space="preserve">urea complexes </w:t>
      </w:r>
      <w:r w:rsidR="005526C4" w:rsidRPr="005F2533">
        <w:t>(Mendes et al</w:t>
      </w:r>
      <w:r w:rsidR="005F2533" w:rsidRPr="005F2533">
        <w:t>.,</w:t>
      </w:r>
      <w:r w:rsidR="005526C4" w:rsidRPr="005F2533">
        <w:t xml:space="preserve"> 2007).</w:t>
      </w:r>
    </w:p>
    <w:p w14:paraId="60263784" w14:textId="77777777" w:rsidR="006D4396" w:rsidRDefault="006D4396" w:rsidP="006D4396">
      <w:pPr>
        <w:pStyle w:val="CETBodytext"/>
      </w:pPr>
    </w:p>
    <w:p w14:paraId="352CA616" w14:textId="1008A336" w:rsidR="006D4396" w:rsidRDefault="00CA4B59" w:rsidP="00856019">
      <w:pPr>
        <w:pStyle w:val="CETheadingx"/>
      </w:pPr>
      <w:r>
        <w:t xml:space="preserve">. </w:t>
      </w:r>
      <w:r w:rsidRPr="006825AD">
        <w:t>C</w:t>
      </w:r>
      <w:r>
        <w:t xml:space="preserve"> </w:t>
      </w:r>
      <w:r w:rsidRPr="00856019">
        <w:t>cohnii</w:t>
      </w:r>
      <w:r>
        <w:t xml:space="preserve"> lipid fractionation</w:t>
      </w:r>
    </w:p>
    <w:p w14:paraId="19C2F5BE" w14:textId="26DF0DD2" w:rsidR="008A2489" w:rsidRPr="00856019" w:rsidRDefault="00B54296" w:rsidP="008A2489">
      <w:pPr>
        <w:pStyle w:val="CETBodytext"/>
        <w:rPr>
          <w:b/>
          <w:bCs/>
        </w:rPr>
      </w:pPr>
      <w:r w:rsidRPr="00856019">
        <w:rPr>
          <w:b/>
          <w:bCs/>
        </w:rPr>
        <w:t xml:space="preserve">3.3.1 </w:t>
      </w:r>
      <w:r w:rsidR="008A2489" w:rsidRPr="00856019">
        <w:rPr>
          <w:b/>
          <w:bCs/>
        </w:rPr>
        <w:t>Non-urea complexing fraction</w:t>
      </w:r>
    </w:p>
    <w:p w14:paraId="0B2B66AF" w14:textId="77777777" w:rsidR="008A2489" w:rsidRPr="008A2489" w:rsidRDefault="008A2489" w:rsidP="006825AD">
      <w:pPr>
        <w:pStyle w:val="CETBodytext"/>
      </w:pPr>
    </w:p>
    <w:p w14:paraId="0CEC5963" w14:textId="186CBA77" w:rsidR="006D4396" w:rsidRDefault="006D4396" w:rsidP="006D4396">
      <w:pPr>
        <w:pStyle w:val="CETBodytext"/>
      </w:pPr>
      <w:r>
        <w:t xml:space="preserve">As expected, </w:t>
      </w:r>
      <w:r w:rsidRPr="00C46200">
        <w:rPr>
          <w:highlight w:val="green"/>
        </w:rPr>
        <w:t xml:space="preserve">the DHA </w:t>
      </w:r>
      <w:r w:rsidR="00D47E24" w:rsidRPr="00C46200">
        <w:rPr>
          <w:highlight w:val="green"/>
        </w:rPr>
        <w:t xml:space="preserve">proportion </w:t>
      </w:r>
      <w:r w:rsidRPr="00C46200">
        <w:rPr>
          <w:highlight w:val="green"/>
        </w:rPr>
        <w:t>of total fatty acids in the no</w:t>
      </w:r>
      <w:r w:rsidR="008F01E1">
        <w:rPr>
          <w:highlight w:val="green"/>
        </w:rPr>
        <w:t>n-urea complexing fractions was much higher than that</w:t>
      </w:r>
      <w:r w:rsidRPr="00C46200">
        <w:rPr>
          <w:highlight w:val="green"/>
        </w:rPr>
        <w:t xml:space="preserve"> found in the urea complexing fractions</w:t>
      </w:r>
      <w:r>
        <w:t xml:space="preserve">. </w:t>
      </w:r>
    </w:p>
    <w:p w14:paraId="622DD1B3" w14:textId="3F9E5942" w:rsidR="006D4396" w:rsidRDefault="006D4396" w:rsidP="006D4396">
      <w:pPr>
        <w:pStyle w:val="CETBodytext"/>
      </w:pPr>
      <w:r>
        <w:t>High concentrations of DHA were obtained in the non-crystallized samples ranging between 73</w:t>
      </w:r>
      <w:r w:rsidR="00703BEC">
        <w:t>.56% and 79.67</w:t>
      </w:r>
      <w:r>
        <w:t xml:space="preserve"> % purity.</w:t>
      </w:r>
    </w:p>
    <w:p w14:paraId="12D2BCB6" w14:textId="67219F09" w:rsidR="006D4396" w:rsidRDefault="006D4396" w:rsidP="006D4396">
      <w:pPr>
        <w:pStyle w:val="CETBodytext"/>
      </w:pPr>
      <w:r w:rsidRPr="00703BEC">
        <w:t>The fractions with the highest proportion of DHA (79.</w:t>
      </w:r>
      <w:r w:rsidR="001E2016" w:rsidRPr="00703BEC">
        <w:t>67</w:t>
      </w:r>
      <w:r w:rsidRPr="00703BEC">
        <w:t xml:space="preserve"> % and 79.</w:t>
      </w:r>
      <w:r w:rsidR="001E2016" w:rsidRPr="00703BEC">
        <w:t>45</w:t>
      </w:r>
      <w:r w:rsidRPr="00703BEC">
        <w:t xml:space="preserve"> % </w:t>
      </w:r>
      <w:r w:rsidR="007D4317" w:rsidRPr="00703BEC">
        <w:t xml:space="preserve">w/w </w:t>
      </w:r>
      <w:r w:rsidRPr="00703BEC">
        <w:t xml:space="preserve">of </w:t>
      </w:r>
      <w:r w:rsidR="007D4317" w:rsidRPr="00703BEC">
        <w:t>TFA</w:t>
      </w:r>
      <w:r w:rsidRPr="00703BEC">
        <w:t>)</w:t>
      </w:r>
      <w:r w:rsidR="00B54296">
        <w:t>,</w:t>
      </w:r>
      <w:r w:rsidRPr="00703BEC">
        <w:t xml:space="preserve"> </w:t>
      </w:r>
      <w:r w:rsidR="007D4317" w:rsidRPr="00703BEC">
        <w:t xml:space="preserve">with a recovery yield </w:t>
      </w:r>
      <w:r w:rsidR="00B54296">
        <w:t xml:space="preserve">(defined as the ratio between the amount of DHA before and after the urea treatment) </w:t>
      </w:r>
      <w:r w:rsidR="007D4317" w:rsidRPr="00703BEC">
        <w:t xml:space="preserve">of </w:t>
      </w:r>
      <w:r w:rsidRPr="00703BEC">
        <w:t>more than 90 % of total DHA</w:t>
      </w:r>
      <w:r w:rsidR="00B54296">
        <w:t>,</w:t>
      </w:r>
      <w:r w:rsidRPr="00703BEC">
        <w:t xml:space="preserve"> in both cases, </w:t>
      </w:r>
      <w:r w:rsidR="00C426D4" w:rsidRPr="00703BEC">
        <w:t>were obtained at</w:t>
      </w:r>
      <w:r w:rsidRPr="00703BEC">
        <w:t xml:space="preserve"> -30 °C and -18 °C, respectively</w:t>
      </w:r>
      <w:r w:rsidR="00C426D4" w:rsidRPr="00703BEC">
        <w:t xml:space="preserve"> (</w:t>
      </w:r>
      <w:r w:rsidR="00C426D4">
        <w:t>Table 1)</w:t>
      </w:r>
      <w:r>
        <w:t>.</w:t>
      </w:r>
    </w:p>
    <w:p w14:paraId="399E4F2F" w14:textId="2B3D24D2" w:rsidR="006D4396" w:rsidRDefault="006D4396" w:rsidP="006D4396">
      <w:pPr>
        <w:pStyle w:val="CETBodytext"/>
      </w:pPr>
      <w:r>
        <w:t>The saturated fatty acid</w:t>
      </w:r>
      <w:r w:rsidR="00C426D4">
        <w:t>,</w:t>
      </w:r>
      <w:r>
        <w:t xml:space="preserve"> which was present in the highest proportion in the non-urea complexing fraction</w:t>
      </w:r>
      <w:r w:rsidR="00C426D4">
        <w:t>, was 12:0</w:t>
      </w:r>
      <w:r w:rsidR="007D4317">
        <w:t>, in low percentage</w:t>
      </w:r>
      <w:r w:rsidR="00C426D4">
        <w:t xml:space="preserve"> (0.3–2.2</w:t>
      </w:r>
      <w:r>
        <w:t xml:space="preserve"> % of total fatty acids). The </w:t>
      </w:r>
      <w:r w:rsidR="008A2489">
        <w:t xml:space="preserve">percentages </w:t>
      </w:r>
      <w:r w:rsidRPr="006B3A2A">
        <w:t>of 14:0, 16:0,</w:t>
      </w:r>
      <w:r>
        <w:t xml:space="preserve"> 16:1</w:t>
      </w:r>
      <w:r w:rsidR="00C46200" w:rsidRPr="00C46200">
        <w:rPr>
          <w:highlight w:val="green"/>
        </w:rPr>
        <w:sym w:font="Symbol" w:char="F077"/>
      </w:r>
      <w:r>
        <w:t>9 and 22:5</w:t>
      </w:r>
      <w:r w:rsidR="00D47E24" w:rsidRPr="00C46200">
        <w:rPr>
          <w:highlight w:val="green"/>
        </w:rPr>
        <w:sym w:font="Symbol" w:char="F077"/>
      </w:r>
      <w:r>
        <w:t xml:space="preserve">3 </w:t>
      </w:r>
      <w:r w:rsidR="00CA4B59">
        <w:t xml:space="preserve">ethyl esters </w:t>
      </w:r>
      <w:r>
        <w:t>in the non-urea complexing fraction were less than 3 % of total fatty acids</w:t>
      </w:r>
      <w:r w:rsidRPr="006B3A2A">
        <w:t>; 18:0</w:t>
      </w:r>
      <w:r>
        <w:t xml:space="preserve"> was absent. As a result, non-urea complexing fractions with high pro</w:t>
      </w:r>
      <w:r w:rsidR="00C426D4">
        <w:t>portions of DHA were obtained</w:t>
      </w:r>
      <w:r>
        <w:t>.</w:t>
      </w:r>
    </w:p>
    <w:p w14:paraId="09509957" w14:textId="5EFD344A" w:rsidR="006D4396" w:rsidRDefault="006D4396" w:rsidP="006D4396">
      <w:pPr>
        <w:pStyle w:val="CETBodytext"/>
      </w:pPr>
      <w:r w:rsidRPr="005F2533">
        <w:t>Senanayake and Shahidi</w:t>
      </w:r>
      <w:r w:rsidR="005F2533" w:rsidRPr="005F2533">
        <w:t>, (2000</w:t>
      </w:r>
      <w:r w:rsidRPr="005F2533">
        <w:t>) concentrated</w:t>
      </w:r>
      <w:r>
        <w:t xml:space="preserve"> DHA from the oil extracted from the microalga </w:t>
      </w:r>
      <w:r w:rsidRPr="00493740">
        <w:rPr>
          <w:i/>
        </w:rPr>
        <w:t>C. cohnii</w:t>
      </w:r>
      <w:r>
        <w:t xml:space="preserve"> and reported a DHA enrichment from 47.4 to 97.1 % with a </w:t>
      </w:r>
      <w:r w:rsidR="00B54296">
        <w:t xml:space="preserve">recovery </w:t>
      </w:r>
      <w:r>
        <w:t>yield of 32.5 % of the mass of the original algal oil. However, the present work presents an alternative fatty acid extraction, saponification and ethylation process.</w:t>
      </w:r>
    </w:p>
    <w:p w14:paraId="74175B38" w14:textId="04B97A28" w:rsidR="006D4396" w:rsidRDefault="006D4396" w:rsidP="006D4396">
      <w:pPr>
        <w:pStyle w:val="CETBodytext"/>
      </w:pPr>
    </w:p>
    <w:p w14:paraId="5A8FF625" w14:textId="3A97ECBC" w:rsidR="00C426D4" w:rsidRDefault="00C426D4" w:rsidP="00C426D4">
      <w:pPr>
        <w:pStyle w:val="CETCaption"/>
      </w:pPr>
      <w:r>
        <w:t>Table 1 – DHA (% w/w) in the non-crystallized samples and in the crystallized samples</w:t>
      </w:r>
      <w:r w:rsidR="00465B8E">
        <w:t xml:space="preserve"> after urea treatment</w:t>
      </w:r>
    </w:p>
    <w:p w14:paraId="7F39FA94" w14:textId="77777777" w:rsidR="008C5A9E" w:rsidRDefault="008C5A9E" w:rsidP="006D4396">
      <w:pPr>
        <w:pStyle w:val="CETBodytext"/>
      </w:pPr>
    </w:p>
    <w:tbl>
      <w:tblPr>
        <w:tblStyle w:val="TableGrid"/>
        <w:tblW w:w="0" w:type="auto"/>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7"/>
        <w:gridCol w:w="1937"/>
        <w:gridCol w:w="1938"/>
      </w:tblGrid>
      <w:tr w:rsidR="008C5A9E" w:rsidRPr="00A47D78" w14:paraId="660112CF" w14:textId="77777777" w:rsidTr="00E125BA">
        <w:trPr>
          <w:trHeight w:val="414"/>
          <w:jc w:val="center"/>
        </w:trPr>
        <w:tc>
          <w:tcPr>
            <w:tcW w:w="5812" w:type="dxa"/>
            <w:gridSpan w:val="3"/>
            <w:tcBorders>
              <w:top w:val="single" w:sz="12" w:space="0" w:color="auto"/>
              <w:bottom w:val="single" w:sz="6" w:space="0" w:color="auto"/>
            </w:tcBorders>
            <w:vAlign w:val="center"/>
          </w:tcPr>
          <w:p w14:paraId="6E4EF45A" w14:textId="77777777" w:rsidR="008C5A9E" w:rsidRPr="00A47D78" w:rsidRDefault="008C5A9E" w:rsidP="00E125BA">
            <w:pPr>
              <w:tabs>
                <w:tab w:val="left" w:pos="1397"/>
                <w:tab w:val="center" w:pos="2798"/>
              </w:tabs>
              <w:jc w:val="center"/>
              <w:rPr>
                <w:lang w:val="en-US"/>
              </w:rPr>
            </w:pPr>
            <w:r w:rsidRPr="00A47D78">
              <w:rPr>
                <w:lang w:val="en-US"/>
              </w:rPr>
              <w:t>DHA/Total fatty acids (w/w)</w:t>
            </w:r>
          </w:p>
        </w:tc>
      </w:tr>
      <w:tr w:rsidR="008C5A9E" w:rsidRPr="002849CA" w14:paraId="206ADB4E" w14:textId="77777777" w:rsidTr="00E125BA">
        <w:trPr>
          <w:trHeight w:val="414"/>
          <w:jc w:val="center"/>
        </w:trPr>
        <w:tc>
          <w:tcPr>
            <w:tcW w:w="1937" w:type="dxa"/>
            <w:tcBorders>
              <w:top w:val="single" w:sz="6" w:space="0" w:color="auto"/>
              <w:bottom w:val="single" w:sz="6" w:space="0" w:color="auto"/>
            </w:tcBorders>
            <w:vAlign w:val="center"/>
          </w:tcPr>
          <w:p w14:paraId="523B819D" w14:textId="77777777" w:rsidR="008C5A9E" w:rsidRPr="002849CA" w:rsidRDefault="008C5A9E" w:rsidP="00E125BA">
            <w:pPr>
              <w:jc w:val="center"/>
              <w:rPr>
                <w:b/>
                <w:lang w:val="en-US"/>
              </w:rPr>
            </w:pPr>
            <w:r w:rsidRPr="002849CA">
              <w:rPr>
                <w:b/>
                <w:lang w:val="en-US"/>
              </w:rPr>
              <w:t>-30ºC</w:t>
            </w:r>
          </w:p>
        </w:tc>
        <w:tc>
          <w:tcPr>
            <w:tcW w:w="1937" w:type="dxa"/>
            <w:tcBorders>
              <w:top w:val="single" w:sz="6" w:space="0" w:color="auto"/>
              <w:bottom w:val="single" w:sz="6" w:space="0" w:color="auto"/>
            </w:tcBorders>
            <w:vAlign w:val="center"/>
          </w:tcPr>
          <w:p w14:paraId="4FE84BE3" w14:textId="77777777" w:rsidR="008C5A9E" w:rsidRPr="002849CA" w:rsidRDefault="008C5A9E" w:rsidP="00E125BA">
            <w:pPr>
              <w:jc w:val="center"/>
              <w:rPr>
                <w:b/>
                <w:lang w:val="en-US"/>
              </w:rPr>
            </w:pPr>
            <w:r w:rsidRPr="002849CA">
              <w:rPr>
                <w:b/>
                <w:lang w:val="en-US"/>
              </w:rPr>
              <w:t>-18ºC</w:t>
            </w:r>
          </w:p>
        </w:tc>
        <w:tc>
          <w:tcPr>
            <w:tcW w:w="1938" w:type="dxa"/>
            <w:tcBorders>
              <w:top w:val="single" w:sz="6" w:space="0" w:color="auto"/>
              <w:bottom w:val="single" w:sz="6" w:space="0" w:color="auto"/>
            </w:tcBorders>
            <w:vAlign w:val="center"/>
          </w:tcPr>
          <w:p w14:paraId="1DB413DE" w14:textId="77777777" w:rsidR="008C5A9E" w:rsidRPr="002849CA" w:rsidRDefault="008C5A9E" w:rsidP="00E125BA">
            <w:pPr>
              <w:jc w:val="center"/>
              <w:rPr>
                <w:b/>
                <w:lang w:val="en-US"/>
              </w:rPr>
            </w:pPr>
            <w:r w:rsidRPr="002849CA">
              <w:rPr>
                <w:b/>
                <w:lang w:val="en-US"/>
              </w:rPr>
              <w:t>5ºC</w:t>
            </w:r>
          </w:p>
        </w:tc>
      </w:tr>
      <w:tr w:rsidR="008C5A9E" w:rsidRPr="00A47D78" w14:paraId="51514493" w14:textId="77777777" w:rsidTr="00E125BA">
        <w:trPr>
          <w:trHeight w:val="414"/>
          <w:jc w:val="center"/>
        </w:trPr>
        <w:tc>
          <w:tcPr>
            <w:tcW w:w="5812" w:type="dxa"/>
            <w:gridSpan w:val="3"/>
            <w:tcBorders>
              <w:top w:val="single" w:sz="6" w:space="0" w:color="auto"/>
              <w:bottom w:val="single" w:sz="6" w:space="0" w:color="auto"/>
            </w:tcBorders>
            <w:vAlign w:val="center"/>
          </w:tcPr>
          <w:p w14:paraId="3E6C06E5" w14:textId="77777777" w:rsidR="008C5A9E" w:rsidRPr="00A47D78" w:rsidRDefault="008C5A9E" w:rsidP="00E125BA">
            <w:pPr>
              <w:jc w:val="center"/>
              <w:rPr>
                <w:lang w:val="en-US"/>
              </w:rPr>
            </w:pPr>
            <w:r>
              <w:t>Non-urea complexing fractions</w:t>
            </w:r>
          </w:p>
        </w:tc>
      </w:tr>
      <w:tr w:rsidR="008C5A9E" w:rsidRPr="00A47D78" w14:paraId="120A8A7F" w14:textId="77777777" w:rsidTr="00E125BA">
        <w:trPr>
          <w:trHeight w:val="414"/>
          <w:jc w:val="center"/>
        </w:trPr>
        <w:tc>
          <w:tcPr>
            <w:tcW w:w="1937" w:type="dxa"/>
            <w:tcBorders>
              <w:top w:val="single" w:sz="6" w:space="0" w:color="auto"/>
              <w:bottom w:val="single" w:sz="6" w:space="0" w:color="auto"/>
            </w:tcBorders>
            <w:vAlign w:val="center"/>
          </w:tcPr>
          <w:p w14:paraId="35C09CE3" w14:textId="77777777" w:rsidR="008C5A9E" w:rsidRPr="00A47D78" w:rsidRDefault="008C5A9E" w:rsidP="00E125BA">
            <w:pPr>
              <w:jc w:val="center"/>
              <w:rPr>
                <w:lang w:val="en-US"/>
              </w:rPr>
            </w:pPr>
            <w:r>
              <w:rPr>
                <w:lang w:val="en-US"/>
              </w:rPr>
              <w:t>79.67%</w:t>
            </w:r>
          </w:p>
        </w:tc>
        <w:tc>
          <w:tcPr>
            <w:tcW w:w="1937" w:type="dxa"/>
            <w:tcBorders>
              <w:top w:val="single" w:sz="6" w:space="0" w:color="auto"/>
              <w:bottom w:val="single" w:sz="6" w:space="0" w:color="auto"/>
            </w:tcBorders>
            <w:vAlign w:val="center"/>
          </w:tcPr>
          <w:p w14:paraId="394F7001" w14:textId="77777777" w:rsidR="008C5A9E" w:rsidRPr="00A47D78" w:rsidRDefault="008C5A9E" w:rsidP="00E125BA">
            <w:pPr>
              <w:jc w:val="center"/>
              <w:rPr>
                <w:lang w:val="en-US"/>
              </w:rPr>
            </w:pPr>
            <w:r>
              <w:rPr>
                <w:lang w:val="en-US"/>
              </w:rPr>
              <w:t>79.45%</w:t>
            </w:r>
          </w:p>
        </w:tc>
        <w:tc>
          <w:tcPr>
            <w:tcW w:w="1938" w:type="dxa"/>
            <w:tcBorders>
              <w:top w:val="single" w:sz="6" w:space="0" w:color="auto"/>
              <w:bottom w:val="single" w:sz="6" w:space="0" w:color="auto"/>
            </w:tcBorders>
            <w:vAlign w:val="center"/>
          </w:tcPr>
          <w:p w14:paraId="3788B167" w14:textId="77777777" w:rsidR="008C5A9E" w:rsidRPr="00A47D78" w:rsidRDefault="008C5A9E" w:rsidP="00E125BA">
            <w:pPr>
              <w:jc w:val="center"/>
              <w:rPr>
                <w:lang w:val="en-US"/>
              </w:rPr>
            </w:pPr>
            <w:r>
              <w:rPr>
                <w:lang w:val="en-US"/>
              </w:rPr>
              <w:t>73.56%</w:t>
            </w:r>
          </w:p>
        </w:tc>
      </w:tr>
      <w:tr w:rsidR="008C5A9E" w:rsidRPr="00A47D78" w14:paraId="15224FDD" w14:textId="77777777" w:rsidTr="00E125BA">
        <w:trPr>
          <w:trHeight w:val="414"/>
          <w:jc w:val="center"/>
        </w:trPr>
        <w:tc>
          <w:tcPr>
            <w:tcW w:w="5812" w:type="dxa"/>
            <w:gridSpan w:val="3"/>
            <w:tcBorders>
              <w:top w:val="single" w:sz="6" w:space="0" w:color="auto"/>
              <w:bottom w:val="single" w:sz="6" w:space="0" w:color="auto"/>
            </w:tcBorders>
            <w:vAlign w:val="center"/>
          </w:tcPr>
          <w:p w14:paraId="396FE7F4" w14:textId="77777777" w:rsidR="008C5A9E" w:rsidRPr="00A47D78" w:rsidRDefault="008C5A9E" w:rsidP="00E125BA">
            <w:pPr>
              <w:jc w:val="center"/>
              <w:rPr>
                <w:lang w:val="en-US"/>
              </w:rPr>
            </w:pPr>
            <w:r>
              <w:t>Urea complexing fractions</w:t>
            </w:r>
          </w:p>
        </w:tc>
      </w:tr>
      <w:tr w:rsidR="008C5A9E" w:rsidRPr="00A47D78" w14:paraId="35817C71" w14:textId="77777777" w:rsidTr="00E125BA">
        <w:trPr>
          <w:trHeight w:val="414"/>
          <w:jc w:val="center"/>
        </w:trPr>
        <w:tc>
          <w:tcPr>
            <w:tcW w:w="1937" w:type="dxa"/>
            <w:tcBorders>
              <w:top w:val="single" w:sz="6" w:space="0" w:color="auto"/>
              <w:bottom w:val="single" w:sz="12" w:space="0" w:color="auto"/>
            </w:tcBorders>
            <w:vAlign w:val="center"/>
          </w:tcPr>
          <w:p w14:paraId="605E8B0E" w14:textId="77777777" w:rsidR="008C5A9E" w:rsidRPr="00A47D78" w:rsidRDefault="008C5A9E" w:rsidP="00E125BA">
            <w:pPr>
              <w:jc w:val="center"/>
              <w:rPr>
                <w:lang w:val="en-US"/>
              </w:rPr>
            </w:pPr>
            <w:r>
              <w:rPr>
                <w:lang w:val="en-US"/>
              </w:rPr>
              <w:t>11.82%</w:t>
            </w:r>
          </w:p>
        </w:tc>
        <w:tc>
          <w:tcPr>
            <w:tcW w:w="1937" w:type="dxa"/>
            <w:tcBorders>
              <w:top w:val="single" w:sz="6" w:space="0" w:color="auto"/>
              <w:bottom w:val="single" w:sz="12" w:space="0" w:color="auto"/>
            </w:tcBorders>
            <w:vAlign w:val="center"/>
          </w:tcPr>
          <w:p w14:paraId="260973A6" w14:textId="77777777" w:rsidR="008C5A9E" w:rsidRPr="00A47D78" w:rsidRDefault="008C5A9E" w:rsidP="00E125BA">
            <w:pPr>
              <w:jc w:val="center"/>
              <w:rPr>
                <w:lang w:val="en-US"/>
              </w:rPr>
            </w:pPr>
            <w:r>
              <w:rPr>
                <w:lang w:val="en-US"/>
              </w:rPr>
              <w:t>10.81%</w:t>
            </w:r>
          </w:p>
        </w:tc>
        <w:tc>
          <w:tcPr>
            <w:tcW w:w="1938" w:type="dxa"/>
            <w:tcBorders>
              <w:top w:val="single" w:sz="6" w:space="0" w:color="auto"/>
              <w:bottom w:val="single" w:sz="12" w:space="0" w:color="auto"/>
            </w:tcBorders>
            <w:vAlign w:val="center"/>
          </w:tcPr>
          <w:p w14:paraId="53A67FCB" w14:textId="77777777" w:rsidR="008C5A9E" w:rsidRPr="00A47D78" w:rsidRDefault="008C5A9E" w:rsidP="00E125BA">
            <w:pPr>
              <w:jc w:val="center"/>
              <w:rPr>
                <w:lang w:val="en-US"/>
              </w:rPr>
            </w:pPr>
            <w:r>
              <w:rPr>
                <w:lang w:val="en-US"/>
              </w:rPr>
              <w:t>33.61%</w:t>
            </w:r>
          </w:p>
        </w:tc>
      </w:tr>
    </w:tbl>
    <w:p w14:paraId="4964ABBD" w14:textId="63E910E5" w:rsidR="00C426D4" w:rsidRDefault="00C426D4" w:rsidP="006D4396">
      <w:pPr>
        <w:pStyle w:val="CETBodytext"/>
      </w:pPr>
    </w:p>
    <w:p w14:paraId="3F137186" w14:textId="57C5AB2D" w:rsidR="006D4396" w:rsidRDefault="00B54296" w:rsidP="00856019">
      <w:pPr>
        <w:pStyle w:val="CETBodytext"/>
        <w:rPr>
          <w:b/>
        </w:rPr>
      </w:pPr>
      <w:r w:rsidRPr="00856019">
        <w:rPr>
          <w:b/>
        </w:rPr>
        <w:t xml:space="preserve">3.3.2 </w:t>
      </w:r>
      <w:r w:rsidR="008A2489" w:rsidRPr="00856019">
        <w:rPr>
          <w:b/>
        </w:rPr>
        <w:t>Urea-complexing fraction</w:t>
      </w:r>
    </w:p>
    <w:p w14:paraId="5544B384" w14:textId="77777777" w:rsidR="00856019" w:rsidRPr="00856019" w:rsidRDefault="00856019" w:rsidP="00856019">
      <w:pPr>
        <w:pStyle w:val="CETBodytext"/>
        <w:rPr>
          <w:b/>
        </w:rPr>
      </w:pPr>
    </w:p>
    <w:p w14:paraId="5711D651" w14:textId="510B555D" w:rsidR="00B54296" w:rsidRDefault="00886C89" w:rsidP="00B54296">
      <w:pPr>
        <w:pStyle w:val="CETBodytext"/>
      </w:pPr>
      <w:r>
        <w:t xml:space="preserve">As expected, </w:t>
      </w:r>
      <w:r w:rsidR="00B54296">
        <w:t>the saturated fatty acids</w:t>
      </w:r>
      <w:r w:rsidR="00B54296" w:rsidRPr="00B54296">
        <w:t xml:space="preserve"> </w:t>
      </w:r>
      <w:r w:rsidR="00B54296">
        <w:t>EE were retained the.</w:t>
      </w:r>
      <w:r>
        <w:t>i</w:t>
      </w:r>
      <w:r w:rsidR="006D4396">
        <w:t>n urea complexing fraction</w:t>
      </w:r>
      <w:r w:rsidR="00B54296">
        <w:t>,</w:t>
      </w:r>
      <w:r w:rsidR="00B54296" w:rsidRPr="00B54296">
        <w:t xml:space="preserve"> </w:t>
      </w:r>
      <w:r w:rsidR="00B54296" w:rsidRPr="006B3A2A">
        <w:t>being 16:0 and 14:0 the dominant compound</w:t>
      </w:r>
      <w:r w:rsidR="00465B8E" w:rsidRPr="006B3A2A">
        <w:t>s</w:t>
      </w:r>
      <w:r w:rsidR="00B54296" w:rsidRPr="006B3A2A">
        <w:t>: 16:0 was the ethyl ester that showed the higher content in the crystallized samples,</w:t>
      </w:r>
      <w:r w:rsidR="00B54296">
        <w:t xml:space="preserve"> accounting for 35% at -18 °C and 33% at 5 °C, followed by</w:t>
      </w:r>
      <w:r w:rsidR="00B54296" w:rsidRPr="00AB5F88">
        <w:t xml:space="preserve"> </w:t>
      </w:r>
      <w:r w:rsidR="00B54296">
        <w:t>14:0</w:t>
      </w:r>
      <w:r w:rsidR="00B54296" w:rsidRPr="00AB5F88">
        <w:t xml:space="preserve"> </w:t>
      </w:r>
      <w:r w:rsidR="00B54296">
        <w:t>ethyl ester that showed a concentration</w:t>
      </w:r>
      <w:r w:rsidR="00B54296" w:rsidRPr="00AB5F88">
        <w:t xml:space="preserve"> </w:t>
      </w:r>
      <w:r w:rsidR="00B54296">
        <w:t xml:space="preserve">24% and 22%, at the temperatures </w:t>
      </w:r>
      <w:r w:rsidR="00B54296" w:rsidRPr="00AB5F88">
        <w:t>-18 °C a</w:t>
      </w:r>
      <w:r w:rsidR="00856019">
        <w:t>nd 5 °C, respectively.</w:t>
      </w:r>
    </w:p>
    <w:p w14:paraId="319636C4" w14:textId="063A4058" w:rsidR="003E3FEF" w:rsidRDefault="00886C89" w:rsidP="006D4396">
      <w:pPr>
        <w:pStyle w:val="CETBodytext"/>
      </w:pPr>
      <w:r>
        <w:t xml:space="preserve">As referred </w:t>
      </w:r>
      <w:r w:rsidRPr="005F2533">
        <w:t>in</w:t>
      </w:r>
      <w:r w:rsidR="006D4396" w:rsidRPr="005F2533">
        <w:t xml:space="preserve"> Biodiesel Standards</w:t>
      </w:r>
      <w:r w:rsidR="005F2533">
        <w:t xml:space="preserve"> (2003)</w:t>
      </w:r>
      <w:r w:rsidR="006D4396" w:rsidRPr="005F2533">
        <w:t>,</w:t>
      </w:r>
      <w:r w:rsidR="006D4396">
        <w:t xml:space="preserve"> biodiesel needs to meet strict parameters to be commercialized in the European Union. The crystalized fraction obtained will be further studied in order to meet the parameters described in the EU Standard for biodiesel.</w:t>
      </w:r>
    </w:p>
    <w:p w14:paraId="3D6AD978" w14:textId="470EC373" w:rsidR="003E3FEF" w:rsidRPr="006D4396" w:rsidRDefault="003E3FEF" w:rsidP="006569A2">
      <w:pPr>
        <w:pStyle w:val="CETBodytext"/>
      </w:pPr>
    </w:p>
    <w:p w14:paraId="07E2CD3A" w14:textId="77777777" w:rsidR="001D656F" w:rsidRPr="00B57B36" w:rsidRDefault="001D656F" w:rsidP="001D656F">
      <w:pPr>
        <w:pStyle w:val="CETHeading1"/>
        <w:rPr>
          <w:lang w:val="en-GB"/>
        </w:rPr>
      </w:pPr>
      <w:r w:rsidRPr="00B57B36">
        <w:rPr>
          <w:lang w:val="en-GB"/>
        </w:rPr>
        <w:t>Conclusions</w:t>
      </w:r>
    </w:p>
    <w:p w14:paraId="584FCBE2" w14:textId="7C3552A3" w:rsidR="009A2F91" w:rsidRDefault="009A2F91" w:rsidP="00AB74FE">
      <w:pPr>
        <w:pStyle w:val="CETBodytext"/>
        <w:rPr>
          <w:lang w:val="en-GB"/>
        </w:rPr>
      </w:pPr>
      <w:r>
        <w:rPr>
          <w:lang w:val="en-GB"/>
        </w:rPr>
        <w:t xml:space="preserve">The current study, </w:t>
      </w:r>
      <w:r w:rsidR="00AB74FE">
        <w:rPr>
          <w:lang w:val="en-GB"/>
        </w:rPr>
        <w:t xml:space="preserve">saponification and ethylation performed in </w:t>
      </w:r>
      <w:r w:rsidR="00AB74FE" w:rsidRPr="00AB74FE">
        <w:rPr>
          <w:i/>
          <w:lang w:val="en-GB"/>
        </w:rPr>
        <w:t>C. cohnii</w:t>
      </w:r>
      <w:r w:rsidR="00AB74FE" w:rsidRPr="00AB74FE">
        <w:rPr>
          <w:lang w:val="en-GB"/>
        </w:rPr>
        <w:t xml:space="preserve"> </w:t>
      </w:r>
      <w:r w:rsidR="00AB74FE">
        <w:rPr>
          <w:lang w:val="en-GB"/>
        </w:rPr>
        <w:t>biomass</w:t>
      </w:r>
      <w:r w:rsidR="00B54296">
        <w:rPr>
          <w:lang w:val="en-GB"/>
        </w:rPr>
        <w:t>,</w:t>
      </w:r>
      <w:r w:rsidR="008A2489">
        <w:rPr>
          <w:lang w:val="en-GB"/>
        </w:rPr>
        <w:t xml:space="preserve"> </w:t>
      </w:r>
      <w:r w:rsidR="008A2489" w:rsidRPr="00C503AF">
        <w:rPr>
          <w:highlight w:val="green"/>
          <w:lang w:val="en-GB"/>
        </w:rPr>
        <w:t xml:space="preserve">followed by </w:t>
      </w:r>
      <w:r w:rsidR="00AB74FE" w:rsidRPr="00C503AF">
        <w:rPr>
          <w:highlight w:val="green"/>
          <w:lang w:val="en-GB"/>
        </w:rPr>
        <w:t>urea complexation</w:t>
      </w:r>
      <w:r w:rsidRPr="00C503AF">
        <w:rPr>
          <w:highlight w:val="green"/>
          <w:lang w:val="en-GB"/>
        </w:rPr>
        <w:t xml:space="preserve"> in a sequential way,</w:t>
      </w:r>
      <w:r w:rsidR="00F20E3D" w:rsidRPr="00C503AF">
        <w:rPr>
          <w:highlight w:val="green"/>
          <w:lang w:val="en-GB"/>
        </w:rPr>
        <w:t xml:space="preserve"> was</w:t>
      </w:r>
      <w:r w:rsidR="00AB74FE" w:rsidRPr="00C503AF">
        <w:rPr>
          <w:highlight w:val="green"/>
          <w:lang w:val="en-GB"/>
        </w:rPr>
        <w:t xml:space="preserve"> an appropriate way for concentration and purification of DHA</w:t>
      </w:r>
      <w:r w:rsidR="00AB74FE">
        <w:rPr>
          <w:lang w:val="en-GB"/>
        </w:rPr>
        <w:t xml:space="preserve"> from </w:t>
      </w:r>
      <w:r w:rsidR="00AB74FE" w:rsidRPr="00AB74FE">
        <w:rPr>
          <w:i/>
          <w:lang w:val="en-GB"/>
        </w:rPr>
        <w:t>C. cohnii</w:t>
      </w:r>
      <w:r w:rsidR="00B54296">
        <w:rPr>
          <w:iCs/>
          <w:lang w:val="en-GB"/>
        </w:rPr>
        <w:t xml:space="preserve"> biomass</w:t>
      </w:r>
      <w:r w:rsidR="00F20E3D">
        <w:rPr>
          <w:lang w:val="en-GB"/>
        </w:rPr>
        <w:t xml:space="preserve">. </w:t>
      </w:r>
      <w:r w:rsidR="00F20E3D" w:rsidRPr="00C503AF">
        <w:rPr>
          <w:highlight w:val="green"/>
          <w:lang w:val="en-GB"/>
        </w:rPr>
        <w:t>H</w:t>
      </w:r>
      <w:r w:rsidR="00AB74FE" w:rsidRPr="00C503AF">
        <w:rPr>
          <w:highlight w:val="green"/>
          <w:lang w:val="en-GB"/>
        </w:rPr>
        <w:t>igh proportions of DHA</w:t>
      </w:r>
      <w:r w:rsidR="00F20E3D" w:rsidRPr="00C503AF">
        <w:rPr>
          <w:highlight w:val="green"/>
          <w:lang w:val="en-GB"/>
        </w:rPr>
        <w:t xml:space="preserve"> are</w:t>
      </w:r>
      <w:r w:rsidR="00AB74FE" w:rsidRPr="00C503AF">
        <w:rPr>
          <w:highlight w:val="green"/>
          <w:lang w:val="en-GB"/>
        </w:rPr>
        <w:t xml:space="preserve"> obtained in non-urea complexing fractions</w:t>
      </w:r>
      <w:r w:rsidR="00F20E3D" w:rsidRPr="00C503AF">
        <w:rPr>
          <w:highlight w:val="green"/>
          <w:lang w:val="en-GB"/>
        </w:rPr>
        <w:t xml:space="preserve"> using this methodology</w:t>
      </w:r>
      <w:r w:rsidR="00AB74FE" w:rsidRPr="00AB74FE">
        <w:rPr>
          <w:lang w:val="en-GB"/>
        </w:rPr>
        <w:t>.</w:t>
      </w:r>
    </w:p>
    <w:p w14:paraId="34EBACDE" w14:textId="084D8C39" w:rsidR="001D656F" w:rsidRDefault="00AB74FE" w:rsidP="00AB74FE">
      <w:pPr>
        <w:pStyle w:val="CETBodytext"/>
        <w:rPr>
          <w:lang w:val="en-GB"/>
        </w:rPr>
      </w:pPr>
      <w:r>
        <w:rPr>
          <w:lang w:val="en-GB"/>
        </w:rPr>
        <w:t xml:space="preserve">Further studies will be carried out in order to reach higher DHA purity </w:t>
      </w:r>
      <w:r w:rsidR="0096733F">
        <w:rPr>
          <w:lang w:val="en-GB"/>
        </w:rPr>
        <w:t>from</w:t>
      </w:r>
      <w:r w:rsidR="0096733F" w:rsidRPr="00AB74FE">
        <w:rPr>
          <w:lang w:val="en-GB"/>
        </w:rPr>
        <w:t xml:space="preserve"> non-urea complexing fractions</w:t>
      </w:r>
      <w:r w:rsidR="00B54296">
        <w:rPr>
          <w:lang w:val="en-GB"/>
        </w:rPr>
        <w:t>. The EE retained in the urea complexing fraction are being evalua</w:t>
      </w:r>
      <w:r w:rsidR="00856019">
        <w:rPr>
          <w:lang w:val="en-GB"/>
        </w:rPr>
        <w:t>ted for</w:t>
      </w:r>
      <w:r w:rsidR="00B54296">
        <w:rPr>
          <w:lang w:val="en-GB"/>
        </w:rPr>
        <w:t xml:space="preserve"> biodiesel</w:t>
      </w:r>
      <w:r w:rsidR="00856019">
        <w:rPr>
          <w:lang w:val="en-GB"/>
        </w:rPr>
        <w:t xml:space="preserve"> production.</w:t>
      </w:r>
    </w:p>
    <w:p w14:paraId="50539278" w14:textId="77777777" w:rsidR="001D656F" w:rsidRPr="00280FAF" w:rsidRDefault="001D656F" w:rsidP="001D656F">
      <w:pPr>
        <w:pStyle w:val="CETHeadingxx"/>
        <w:rPr>
          <w:lang w:val="en-GB"/>
        </w:rPr>
        <w:sectPr w:rsidR="001D656F" w:rsidRPr="00280FAF" w:rsidSect="00B57E6F">
          <w:type w:val="continuous"/>
          <w:pgSz w:w="11906" w:h="16838" w:code="9"/>
          <w:pgMar w:top="1701" w:right="1418" w:bottom="1701" w:left="1701" w:header="1701" w:footer="0" w:gutter="0"/>
          <w:cols w:space="708"/>
          <w:formProt w:val="0"/>
          <w:titlePg/>
          <w:docGrid w:linePitch="360"/>
        </w:sectPr>
      </w:pPr>
      <w:r>
        <w:t>Nomenclature</w:t>
      </w:r>
    </w:p>
    <w:p w14:paraId="2243E397" w14:textId="10FFD4B3" w:rsidR="00886C89" w:rsidRPr="00280FAF" w:rsidRDefault="00886C89" w:rsidP="00886C89">
      <w:pPr>
        <w:pStyle w:val="CETBodytext"/>
        <w:jc w:val="left"/>
        <w:rPr>
          <w:rFonts w:eastAsia="SimSun"/>
        </w:rPr>
      </w:pPr>
      <w:r>
        <w:rPr>
          <w:rFonts w:eastAsia="SimSun"/>
        </w:rPr>
        <w:t>DHA</w:t>
      </w:r>
      <w:r w:rsidRPr="00280FAF">
        <w:rPr>
          <w:rFonts w:eastAsia="SimSun"/>
        </w:rPr>
        <w:t xml:space="preserve">– </w:t>
      </w:r>
      <w:r>
        <w:t>Docosahexaenoic acid</w:t>
      </w:r>
    </w:p>
    <w:p w14:paraId="3126ECEC" w14:textId="1BACE020" w:rsidR="001D656F" w:rsidRPr="00280FAF" w:rsidRDefault="00AB74FE" w:rsidP="001D656F">
      <w:pPr>
        <w:pStyle w:val="CETBodytext"/>
        <w:jc w:val="left"/>
        <w:rPr>
          <w:rFonts w:eastAsia="SimSun"/>
        </w:rPr>
      </w:pPr>
      <w:r>
        <w:rPr>
          <w:rFonts w:eastAsia="SimSun"/>
        </w:rPr>
        <w:t>EE</w:t>
      </w:r>
      <w:r w:rsidR="00C51A0A">
        <w:rPr>
          <w:rFonts w:eastAsia="SimSun"/>
        </w:rPr>
        <w:t xml:space="preserve"> – Ethyl esters</w:t>
      </w:r>
    </w:p>
    <w:p w14:paraId="3D5BDFB8" w14:textId="77777777" w:rsidR="001D656F" w:rsidRPr="00280FAF" w:rsidRDefault="001D656F" w:rsidP="001D656F">
      <w:pPr>
        <w:pStyle w:val="CETBodytext"/>
        <w:jc w:val="left"/>
        <w:rPr>
          <w:rFonts w:eastAsia="SimSun"/>
        </w:rPr>
        <w:sectPr w:rsidR="001D656F" w:rsidRPr="00280FAF" w:rsidSect="0077098D">
          <w:type w:val="continuous"/>
          <w:pgSz w:w="11906" w:h="16838" w:code="9"/>
          <w:pgMar w:top="1701" w:right="1418" w:bottom="1701" w:left="1701" w:header="1701" w:footer="0" w:gutter="0"/>
          <w:cols w:space="708"/>
          <w:formProt w:val="0"/>
          <w:titlePg/>
          <w:docGrid w:linePitch="360"/>
        </w:sectPr>
      </w:pPr>
    </w:p>
    <w:p w14:paraId="08A26259" w14:textId="1BDFDA58" w:rsidR="001D656F" w:rsidRPr="00280FAF" w:rsidRDefault="00AB74FE" w:rsidP="001D656F">
      <w:pPr>
        <w:pStyle w:val="CETBodytext"/>
        <w:jc w:val="left"/>
        <w:rPr>
          <w:rFonts w:eastAsia="SimSun"/>
        </w:rPr>
      </w:pPr>
      <w:r>
        <w:rPr>
          <w:rFonts w:eastAsia="SimSun"/>
        </w:rPr>
        <w:t>FAEE</w:t>
      </w:r>
      <w:r w:rsidR="00886C89">
        <w:rPr>
          <w:rFonts w:eastAsia="SimSun"/>
        </w:rPr>
        <w:t xml:space="preserve"> – Fatty acids ethyl esters</w:t>
      </w:r>
    </w:p>
    <w:p w14:paraId="1260B349" w14:textId="321DB989" w:rsidR="00886C89" w:rsidRPr="00280FAF" w:rsidRDefault="00886C89" w:rsidP="00886C89">
      <w:pPr>
        <w:pStyle w:val="CETBodytext"/>
        <w:jc w:val="left"/>
        <w:rPr>
          <w:rFonts w:eastAsia="SimSun"/>
        </w:rPr>
      </w:pPr>
      <w:r>
        <w:rPr>
          <w:rFonts w:eastAsia="SimSun"/>
        </w:rPr>
        <w:t>FFA – Free fatty acids</w:t>
      </w:r>
    </w:p>
    <w:p w14:paraId="2E0EA64B" w14:textId="719537AB" w:rsidR="00886C89" w:rsidRPr="00280FAF" w:rsidRDefault="00886C89" w:rsidP="00886C89">
      <w:pPr>
        <w:pStyle w:val="CETBodytext"/>
        <w:jc w:val="left"/>
        <w:rPr>
          <w:rFonts w:eastAsia="SimSun"/>
        </w:rPr>
      </w:pPr>
      <w:r>
        <w:rPr>
          <w:rFonts w:eastAsia="SimSun"/>
        </w:rPr>
        <w:t>GC– Gas chromatography</w:t>
      </w:r>
    </w:p>
    <w:p w14:paraId="1B6DCFBE" w14:textId="179AF178" w:rsidR="001D656F" w:rsidRPr="00280FAF" w:rsidRDefault="00AB74FE" w:rsidP="001D656F">
      <w:pPr>
        <w:pStyle w:val="CETBodytext"/>
        <w:jc w:val="left"/>
        <w:rPr>
          <w:rFonts w:eastAsia="SimSun"/>
        </w:rPr>
      </w:pPr>
      <w:r>
        <w:rPr>
          <w:rFonts w:eastAsia="SimSun"/>
        </w:rPr>
        <w:t>PUFA</w:t>
      </w:r>
      <w:r w:rsidR="001D656F" w:rsidRPr="00280FAF">
        <w:rPr>
          <w:rFonts w:eastAsia="SimSun"/>
        </w:rPr>
        <w:t xml:space="preserve">– </w:t>
      </w:r>
      <w:r w:rsidR="00886C89">
        <w:t>Polyunsaturated fatty acid</w:t>
      </w:r>
    </w:p>
    <w:p w14:paraId="5EC75DED" w14:textId="6B6B8691" w:rsidR="001D656F" w:rsidRPr="00280FAF" w:rsidRDefault="00AB74FE" w:rsidP="001D656F">
      <w:pPr>
        <w:pStyle w:val="CETBodytext"/>
        <w:jc w:val="left"/>
        <w:rPr>
          <w:rFonts w:eastAsia="SimSun"/>
        </w:rPr>
      </w:pPr>
      <w:r>
        <w:rPr>
          <w:rFonts w:eastAsia="SimSun"/>
        </w:rPr>
        <w:t>TFA</w:t>
      </w:r>
      <w:r w:rsidR="00886C89">
        <w:rPr>
          <w:rFonts w:eastAsia="SimSun"/>
        </w:rPr>
        <w:t>– Total fatty acids</w:t>
      </w:r>
    </w:p>
    <w:p w14:paraId="319ED7AE" w14:textId="77777777" w:rsidR="001D656F" w:rsidRPr="00B57B36" w:rsidRDefault="001D656F" w:rsidP="001D656F">
      <w:pPr>
        <w:pStyle w:val="CETAcknowledgementstitle"/>
      </w:pPr>
      <w:r w:rsidRPr="00B57B36">
        <w:t>Acknowledgments</w:t>
      </w:r>
    </w:p>
    <w:p w14:paraId="35C4F04C" w14:textId="7A883B93" w:rsidR="001D656F" w:rsidRDefault="001D656F" w:rsidP="001D656F">
      <w:pPr>
        <w:pStyle w:val="CETBodytext"/>
        <w:rPr>
          <w:lang w:val="en-GB"/>
        </w:rPr>
      </w:pPr>
      <w:r w:rsidRPr="00165696">
        <w:rPr>
          <w:lang w:val="en-GB"/>
        </w:rPr>
        <w:t>This work is financed by national funds through FCT - Fundação para a Ciência e a Tecnologia, I.P., within the scope of the project PTDC/EAM-AMB/30169/2017, titled “OMEGAFUEL – New platform for biofuels and omega-3 compounds production, from the marine microalga</w:t>
      </w:r>
      <w:r>
        <w:rPr>
          <w:lang w:val="en-GB"/>
        </w:rPr>
        <w:t>e</w:t>
      </w:r>
      <w:r w:rsidRPr="00165696">
        <w:rPr>
          <w:lang w:val="en-GB"/>
        </w:rPr>
        <w:t xml:space="preserve"> </w:t>
      </w:r>
      <w:r w:rsidRPr="001D656F">
        <w:rPr>
          <w:i/>
          <w:lang w:val="en-GB"/>
        </w:rPr>
        <w:t>Crypthecodinium cohnii</w:t>
      </w:r>
      <w:r w:rsidRPr="00165696">
        <w:rPr>
          <w:lang w:val="en-GB"/>
        </w:rPr>
        <w:t xml:space="preserve"> sustainable biorefinery”.</w:t>
      </w:r>
    </w:p>
    <w:p w14:paraId="5F437564" w14:textId="77777777" w:rsidR="001D656F" w:rsidRDefault="001D656F" w:rsidP="001D656F">
      <w:pPr>
        <w:pStyle w:val="CETBodytext"/>
        <w:rPr>
          <w:lang w:val="en-GB"/>
        </w:rPr>
      </w:pPr>
      <w:r w:rsidRPr="00165696">
        <w:rPr>
          <w:lang w:val="en-GB"/>
        </w:rPr>
        <w:t>This research has been carried out at the Biomass and Bioenergy Research Infrastructure (BBRI)- LISBOA-01-0145-FEDER-022059, supported by Operational Programme for Competitiveness and Internationalization (PORTUGAL2020), by Lisbon Portugal Regional Operational Programme (Lisboa 2020) and by North Portugal Regional Operational Programme (Norte 2020) under the Portugal 2020 Partnership Agreement, through the European Regional Development Fund (ERDF).</w:t>
      </w:r>
    </w:p>
    <w:p w14:paraId="39FB58BE" w14:textId="77777777" w:rsidR="001D656F" w:rsidRPr="00B57B36" w:rsidRDefault="001D656F" w:rsidP="001D656F">
      <w:pPr>
        <w:pStyle w:val="CETBodytext"/>
        <w:ind w:left="360"/>
        <w:rPr>
          <w:lang w:val="en-GB"/>
        </w:rPr>
      </w:pPr>
    </w:p>
    <w:p w14:paraId="7676233F" w14:textId="77777777" w:rsidR="001D656F" w:rsidRPr="00B57B36" w:rsidRDefault="001D656F" w:rsidP="001D656F">
      <w:pPr>
        <w:pStyle w:val="CETReference"/>
      </w:pPr>
      <w:r w:rsidRPr="00B57B36">
        <w:t>References</w:t>
      </w:r>
    </w:p>
    <w:p w14:paraId="0296EA7D" w14:textId="77777777" w:rsidR="00493740" w:rsidRDefault="00493740" w:rsidP="001D656F">
      <w:pPr>
        <w:pStyle w:val="CETBodytext"/>
        <w:rPr>
          <w:lang w:val="en-GB"/>
        </w:rPr>
      </w:pPr>
    </w:p>
    <w:p w14:paraId="6A3853D2" w14:textId="5C116BC7" w:rsidR="00493740" w:rsidRDefault="00493740" w:rsidP="00C46200">
      <w:pPr>
        <w:pStyle w:val="CETReferencetext"/>
      </w:pPr>
      <w:r w:rsidRPr="00F463F9">
        <w:t>Beam</w:t>
      </w:r>
      <w:r w:rsidR="005F2533">
        <w:t xml:space="preserve"> C, Himes M., 1982, </w:t>
      </w:r>
      <w:r w:rsidRPr="00F463F9">
        <w:t xml:space="preserve">Distribution of Members of the </w:t>
      </w:r>
      <w:r w:rsidRPr="00F463F9">
        <w:rPr>
          <w:i/>
        </w:rPr>
        <w:t>Crypthecodinium cohnii</w:t>
      </w:r>
      <w:r w:rsidR="005F2533">
        <w:t xml:space="preserve"> (Dinophyceae) Species Complex,</w:t>
      </w:r>
      <w:r w:rsidRPr="00F463F9">
        <w:t xml:space="preserve"> </w:t>
      </w:r>
      <w:r w:rsidRPr="005F2533">
        <w:rPr>
          <w:iCs/>
        </w:rPr>
        <w:t>The Journal of Protozoology</w:t>
      </w:r>
      <w:r w:rsidRPr="00F463F9">
        <w:rPr>
          <w:i/>
          <w:iCs/>
        </w:rPr>
        <w:t xml:space="preserve">, </w:t>
      </w:r>
      <w:r w:rsidR="005F2533">
        <w:t>29, 8-15</w:t>
      </w:r>
      <w:r w:rsidRPr="00F463F9">
        <w:t>.</w:t>
      </w:r>
    </w:p>
    <w:p w14:paraId="6BA0658A" w14:textId="4606E317" w:rsidR="00F070AD" w:rsidRPr="004E518D" w:rsidRDefault="00F070AD" w:rsidP="00C46200">
      <w:pPr>
        <w:pStyle w:val="CETReferencetext"/>
      </w:pPr>
      <w:r w:rsidRPr="00F463F9">
        <w:t xml:space="preserve">European </w:t>
      </w:r>
      <w:r>
        <w:t xml:space="preserve">Committee for Standardization, </w:t>
      </w:r>
      <w:r w:rsidRPr="00F463F9">
        <w:t>EN 14214 “Automotive fuels - Fatty acid methyl esters (FAME) for diesel engines -</w:t>
      </w:r>
      <w:r>
        <w:t xml:space="preserve"> Requirements and test methods</w:t>
      </w:r>
      <w:r w:rsidRPr="00F463F9">
        <w:t>, 2003. [Online]. Available: https://</w:t>
      </w:r>
      <w:r w:rsidR="00856019">
        <w:t xml:space="preserve"> </w:t>
      </w:r>
      <w:r w:rsidRPr="00F463F9">
        <w:t>ec.europa.eu/energy</w:t>
      </w:r>
      <w:r w:rsidR="00856019">
        <w:t xml:space="preserve"> </w:t>
      </w:r>
      <w:r>
        <w:lastRenderedPageBreak/>
        <w:t>/intelligent/projects/sites/iee_</w:t>
      </w:r>
      <w:r w:rsidRPr="00F463F9">
        <w:t>projects/files/project</w:t>
      </w:r>
      <w:r w:rsidR="00856019">
        <w:t xml:space="preserve">s/documents/biofuel_marketplac </w:t>
      </w:r>
      <w:r w:rsidRPr="00F463F9">
        <w:t>biofuel_standards_f</w:t>
      </w:r>
      <w:r w:rsidR="00856019">
        <w:t xml:space="preserve"> </w:t>
      </w:r>
      <w:r w:rsidRPr="00F463F9">
        <w:t>or_</w:t>
      </w:r>
      <w:r w:rsidR="00856019">
        <w:t xml:space="preserve"> </w:t>
      </w:r>
      <w:r w:rsidRPr="00F463F9">
        <w:t>transport</w:t>
      </w:r>
      <w:r w:rsidR="00856019">
        <w:t xml:space="preserve"> </w:t>
      </w:r>
      <w:r w:rsidRPr="00F463F9">
        <w:t>_</w:t>
      </w:r>
      <w:r w:rsidR="00856019">
        <w:t xml:space="preserve"> </w:t>
      </w:r>
      <w:r w:rsidRPr="00F463F9">
        <w:t>in_</w:t>
      </w:r>
      <w:r>
        <w:t>the_eu.pdf. Accessed 29 01 2022</w:t>
      </w:r>
      <w:r w:rsidRPr="00F463F9">
        <w:t>.</w:t>
      </w:r>
    </w:p>
    <w:p w14:paraId="3DCE19C4" w14:textId="77777777" w:rsidR="00F070AD" w:rsidRDefault="00F070AD" w:rsidP="00C46200">
      <w:pPr>
        <w:pStyle w:val="CETReferencetext"/>
      </w:pPr>
      <w:r>
        <w:t xml:space="preserve">Guil-Guerrero J.L., Belarbi E., 2001, Purification process for cod liver oil polyunsaturated fatty acids, Journal Am. Oil Chemistry Soc, 78, 477–484. </w:t>
      </w:r>
    </w:p>
    <w:p w14:paraId="5260546B" w14:textId="77777777" w:rsidR="00F070AD" w:rsidRDefault="00F070AD" w:rsidP="00C46200">
      <w:pPr>
        <w:pStyle w:val="CETReferencetext"/>
      </w:pPr>
      <w:r w:rsidRPr="00F463F9">
        <w:t>Horrocks</w:t>
      </w:r>
      <w:r>
        <w:t xml:space="preserve"> L., </w:t>
      </w:r>
      <w:r w:rsidRPr="00F463F9">
        <w:t>Yeo</w:t>
      </w:r>
      <w:r>
        <w:t xml:space="preserve"> K.</w:t>
      </w:r>
      <w:r w:rsidRPr="00F463F9">
        <w:t>,</w:t>
      </w:r>
      <w:r>
        <w:t xml:space="preserve"> 1999, </w:t>
      </w:r>
      <w:r w:rsidRPr="00F463F9">
        <w:t>Health benefits</w:t>
      </w:r>
      <w:r>
        <w:t xml:space="preserve"> of docosahexaenoic acid (DHA</w:t>
      </w:r>
      <w:r w:rsidRPr="005F2533">
        <w:t xml:space="preserve">), </w:t>
      </w:r>
      <w:r w:rsidRPr="005F2533">
        <w:rPr>
          <w:iCs/>
        </w:rPr>
        <w:t>Pharmacological research</w:t>
      </w:r>
      <w:r w:rsidRPr="00F463F9">
        <w:rPr>
          <w:i/>
          <w:iCs/>
        </w:rPr>
        <w:t xml:space="preserve">, </w:t>
      </w:r>
      <w:r w:rsidRPr="00F463F9">
        <w:t>40,</w:t>
      </w:r>
      <w:r>
        <w:t xml:space="preserve"> 211-225</w:t>
      </w:r>
      <w:r w:rsidRPr="00F463F9">
        <w:t>.</w:t>
      </w:r>
    </w:p>
    <w:p w14:paraId="002192DD" w14:textId="77777777" w:rsidR="00F070AD" w:rsidRDefault="00F070AD" w:rsidP="00C46200">
      <w:pPr>
        <w:pStyle w:val="CETReferencetext"/>
      </w:pPr>
      <w:r w:rsidRPr="00F463F9">
        <w:t>Jiang</w:t>
      </w:r>
      <w:r>
        <w:t xml:space="preserve"> Y.,</w:t>
      </w:r>
      <w:r w:rsidRPr="00F463F9">
        <w:t xml:space="preserve"> Chen</w:t>
      </w:r>
      <w:r>
        <w:t xml:space="preserve"> F.</w:t>
      </w:r>
      <w:r w:rsidRPr="00F463F9">
        <w:t>,</w:t>
      </w:r>
      <w:r>
        <w:t xml:space="preserve"> 2000</w:t>
      </w:r>
      <w:r w:rsidRPr="00F463F9">
        <w:t xml:space="preserve"> Effects of medium glucose concentration and pH on docosahexaenoic acid content of heterotrophic </w:t>
      </w:r>
      <w:r w:rsidRPr="00F463F9">
        <w:rPr>
          <w:i/>
        </w:rPr>
        <w:t>Crypthecodinium cohnii</w:t>
      </w:r>
      <w:r>
        <w:t>,</w:t>
      </w:r>
      <w:r w:rsidRPr="00F463F9">
        <w:t xml:space="preserve"> </w:t>
      </w:r>
      <w:r w:rsidRPr="00464AB4">
        <w:rPr>
          <w:iCs/>
        </w:rPr>
        <w:t>Process Biochemistry</w:t>
      </w:r>
      <w:r w:rsidRPr="00F463F9">
        <w:rPr>
          <w:i/>
          <w:iCs/>
        </w:rPr>
        <w:t xml:space="preserve">, </w:t>
      </w:r>
      <w:r w:rsidRPr="00F463F9">
        <w:t>35,</w:t>
      </w:r>
      <w:r>
        <w:t xml:space="preserve"> 1205-1209</w:t>
      </w:r>
      <w:r w:rsidRPr="00F463F9">
        <w:t>.</w:t>
      </w:r>
    </w:p>
    <w:p w14:paraId="39CDF7D4" w14:textId="77777777" w:rsidR="00F070AD" w:rsidRPr="005526C4" w:rsidRDefault="00F070AD" w:rsidP="00C46200">
      <w:pPr>
        <w:pStyle w:val="CETReferencetext"/>
      </w:pPr>
      <w:r>
        <w:t xml:space="preserve">Khozin-Goldberg I., Bigogno C., Cohen Z., 1999, Salicylhydroxamic acid inhibits delta 6 desaturation in the microalga </w:t>
      </w:r>
      <w:r w:rsidRPr="00464AB4">
        <w:rPr>
          <w:i/>
        </w:rPr>
        <w:t>Porphyridium cruentum</w:t>
      </w:r>
      <w:r>
        <w:t>, Biochemistry Biophysics. Acta, 1439, 384– 394.</w:t>
      </w:r>
    </w:p>
    <w:p w14:paraId="66476EE5" w14:textId="138527F4" w:rsidR="00F070AD" w:rsidRDefault="00F070AD" w:rsidP="00C46200">
      <w:pPr>
        <w:pStyle w:val="CETReferencetext"/>
        <w:rPr>
          <w:shd w:val="clear" w:color="auto" w:fill="FFFFFF"/>
        </w:rPr>
      </w:pPr>
      <w:r>
        <w:rPr>
          <w:shd w:val="clear" w:color="auto" w:fill="FFFFFF"/>
        </w:rPr>
        <w:t xml:space="preserve">Mendes </w:t>
      </w:r>
      <w:bookmarkStart w:id="3" w:name="refTemp1"/>
      <w:bookmarkEnd w:id="3"/>
      <w:r w:rsidR="00C46200">
        <w:rPr>
          <w:shd w:val="clear" w:color="auto" w:fill="FFFFFF"/>
        </w:rPr>
        <w:t>A., da Silva T.L.,</w:t>
      </w:r>
      <w:r>
        <w:rPr>
          <w:shd w:val="clear" w:color="auto" w:fill="FFFFFF"/>
        </w:rPr>
        <w:t xml:space="preserve"> Reis A., 2007, DHA concentration and purification from the marine heterotrophic microalga </w:t>
      </w:r>
      <w:r>
        <w:rPr>
          <w:rStyle w:val="Emphasis"/>
          <w:shd w:val="clear" w:color="auto" w:fill="FFFFFF"/>
        </w:rPr>
        <w:t>Crypthecodinium cohnii</w:t>
      </w:r>
      <w:r>
        <w:rPr>
          <w:shd w:val="clear" w:color="auto" w:fill="FFFFFF"/>
        </w:rPr>
        <w:t xml:space="preserve"> CCMP 316 by winterization and urea complexation. </w:t>
      </w:r>
      <w:r w:rsidRPr="008F74F1">
        <w:rPr>
          <w:rStyle w:val="ref-journal"/>
          <w:iCs/>
          <w:shd w:val="clear" w:color="auto" w:fill="FFFFFF"/>
        </w:rPr>
        <w:t>Food Technology and Biotechnology</w:t>
      </w:r>
      <w:r>
        <w:rPr>
          <w:shd w:val="clear" w:color="auto" w:fill="FFFFFF"/>
        </w:rPr>
        <w:t xml:space="preserve">; </w:t>
      </w:r>
      <w:r>
        <w:rPr>
          <w:rStyle w:val="ref-vol"/>
          <w:i/>
          <w:iCs/>
          <w:shd w:val="clear" w:color="auto" w:fill="FFFFFF"/>
        </w:rPr>
        <w:t>45</w:t>
      </w:r>
      <w:r>
        <w:rPr>
          <w:shd w:val="clear" w:color="auto" w:fill="FFFFFF"/>
        </w:rPr>
        <w:t>, 38–44.</w:t>
      </w:r>
    </w:p>
    <w:p w14:paraId="23CF39A7" w14:textId="5D762603" w:rsidR="00493740" w:rsidRDefault="00F308BA" w:rsidP="00C46200">
      <w:pPr>
        <w:pStyle w:val="CETReferencetext"/>
      </w:pPr>
      <w:r w:rsidRPr="00F463F9">
        <w:t>Mendes</w:t>
      </w:r>
      <w:r w:rsidR="005F2533">
        <w:t xml:space="preserve"> A.</w:t>
      </w:r>
      <w:r w:rsidRPr="00F463F9">
        <w:t>, Reis</w:t>
      </w:r>
      <w:r w:rsidR="005F2533">
        <w:t xml:space="preserve"> A.</w:t>
      </w:r>
      <w:r w:rsidRPr="00F463F9">
        <w:t>, Vasconcelos</w:t>
      </w:r>
      <w:r w:rsidR="005F2533">
        <w:t xml:space="preserve"> R.</w:t>
      </w:r>
      <w:r w:rsidRPr="00F463F9">
        <w:t>, Guerra</w:t>
      </w:r>
      <w:r w:rsidR="005F2533">
        <w:t xml:space="preserve"> P., </w:t>
      </w:r>
      <w:r w:rsidRPr="00F463F9">
        <w:t>Lopes da Silva</w:t>
      </w:r>
      <w:r w:rsidR="005F2533">
        <w:t xml:space="preserve"> T.</w:t>
      </w:r>
      <w:r w:rsidRPr="00F463F9">
        <w:t>,</w:t>
      </w:r>
      <w:r w:rsidR="005F2533">
        <w:t xml:space="preserve"> 2009, </w:t>
      </w:r>
      <w:r w:rsidRPr="00F463F9">
        <w:rPr>
          <w:i/>
        </w:rPr>
        <w:t>Crypthecodinium cohnii</w:t>
      </w:r>
      <w:r w:rsidRPr="00F463F9">
        <w:t xml:space="preserve"> with emphas</w:t>
      </w:r>
      <w:r w:rsidR="005F2533">
        <w:t>is on DHA production: a review,</w:t>
      </w:r>
      <w:r w:rsidRPr="00F463F9">
        <w:t xml:space="preserve"> </w:t>
      </w:r>
      <w:r w:rsidRPr="005F2533">
        <w:rPr>
          <w:iCs/>
        </w:rPr>
        <w:t>Journal of applied phycology</w:t>
      </w:r>
      <w:r w:rsidRPr="00F463F9">
        <w:rPr>
          <w:i/>
          <w:iCs/>
        </w:rPr>
        <w:t xml:space="preserve">, </w:t>
      </w:r>
      <w:r w:rsidRPr="00F463F9">
        <w:t xml:space="preserve">21, </w:t>
      </w:r>
      <w:r w:rsidR="005F2533">
        <w:t>199-214</w:t>
      </w:r>
      <w:r w:rsidRPr="00F463F9">
        <w:t>.</w:t>
      </w:r>
    </w:p>
    <w:p w14:paraId="6FBA5A67" w14:textId="5B2B134F" w:rsidR="00F070AD" w:rsidRDefault="00F070AD" w:rsidP="00C46200">
      <w:pPr>
        <w:pStyle w:val="CETReferencetext"/>
      </w:pPr>
      <w:r>
        <w:t>Medina A.R., Giménez A., Camacho F., Pérez J.A., Grima E., Gómes A., 1995, Concentration and purification of stearidonic, eicosapentaenoic, and docosahexaenoic acids from cod liver oil and the marine microalga Isochrysis galbana, J. Am. Oil Chem. Soc, 72, 575–583</w:t>
      </w:r>
    </w:p>
    <w:p w14:paraId="095EA5FC" w14:textId="1D101404" w:rsidR="00F070AD" w:rsidRDefault="00C46200" w:rsidP="00C46200">
      <w:pPr>
        <w:pStyle w:val="CETReferencetext"/>
      </w:pPr>
      <w:r>
        <w:t>Moniz P., Silva, C., Oliveira A.C., Reis, A., Lopes da Silva</w:t>
      </w:r>
      <w:r w:rsidR="00F070AD" w:rsidRPr="008F74F1">
        <w:t xml:space="preserve"> T.</w:t>
      </w:r>
      <w:r w:rsidR="00F070AD">
        <w:t>, 2021,</w:t>
      </w:r>
      <w:r w:rsidR="00F070AD" w:rsidRPr="008F74F1">
        <w:t xml:space="preserve"> Raw Glycerol Based Medium for DHA and Lipids Production, Using the Marine Heterotrophic Microalga </w:t>
      </w:r>
      <w:r w:rsidR="00F070AD" w:rsidRPr="008F74F1">
        <w:rPr>
          <w:i/>
        </w:rPr>
        <w:t>Crypthecodinium cohnii</w:t>
      </w:r>
      <w:r w:rsidR="00F070AD">
        <w:t xml:space="preserve">, </w:t>
      </w:r>
      <w:r w:rsidR="00F070AD" w:rsidRPr="008F74F1">
        <w:t>Processes</w:t>
      </w:r>
      <w:r w:rsidR="00F070AD">
        <w:t>, 9, 11</w:t>
      </w:r>
      <w:r w:rsidR="00F070AD" w:rsidRPr="008F74F1">
        <w:t>.</w:t>
      </w:r>
    </w:p>
    <w:p w14:paraId="684DF852" w14:textId="77777777" w:rsidR="00F070AD" w:rsidRDefault="00F070AD" w:rsidP="00C46200">
      <w:pPr>
        <w:pStyle w:val="CETReferencetext"/>
      </w:pPr>
      <w:r>
        <w:t>Senanayake S.P., Shahidi F., 2000, Concentration of docosahexaenoic acid (DHA) from algal oil via urea complexation, Journal of Food Lipids, 7, 51–61.</w:t>
      </w:r>
    </w:p>
    <w:p w14:paraId="13EB14BF" w14:textId="123C4E5D" w:rsidR="00F070AD" w:rsidRDefault="00F070AD" w:rsidP="00C46200">
      <w:pPr>
        <w:pStyle w:val="CETReferencetext"/>
      </w:pPr>
      <w:r>
        <w:t>Shahidi F., Wanasundara</w:t>
      </w:r>
      <w:r w:rsidRPr="00464AB4">
        <w:t xml:space="preserve"> </w:t>
      </w:r>
      <w:r>
        <w:t>U.N., 1998, Omega-3 fatty acid concentrates: Nutritional aspects and production technologies, Trends Food Science Technology, 9, 230–240.</w:t>
      </w:r>
    </w:p>
    <w:p w14:paraId="6B86037B" w14:textId="17C52AE5" w:rsidR="00F308BA" w:rsidRDefault="00F308BA" w:rsidP="00C46200">
      <w:pPr>
        <w:pStyle w:val="CETReferencetext"/>
      </w:pPr>
      <w:r w:rsidRPr="00F463F9">
        <w:t>Singh</w:t>
      </w:r>
      <w:r w:rsidR="00464AB4">
        <w:t xml:space="preserve"> P.</w:t>
      </w:r>
      <w:r w:rsidR="00C46200">
        <w:t>,</w:t>
      </w:r>
      <w:r w:rsidRPr="00F463F9">
        <w:t xml:space="preserve"> Singh</w:t>
      </w:r>
      <w:r w:rsidR="00464AB4">
        <w:t xml:space="preserve"> D.</w:t>
      </w:r>
      <w:r w:rsidRPr="00F463F9">
        <w:t>, Biodiesel production through the use of different sources and characterization of oils and their esters as the substitute of diesel: a review,</w:t>
      </w:r>
      <w:r w:rsidR="00464AB4">
        <w:t xml:space="preserve"> 2010,</w:t>
      </w:r>
      <w:r w:rsidRPr="00F463F9">
        <w:t xml:space="preserve"> </w:t>
      </w:r>
      <w:r w:rsidRPr="00464AB4">
        <w:rPr>
          <w:iCs/>
        </w:rPr>
        <w:t>Renewable and sustainable energy reviews</w:t>
      </w:r>
      <w:r w:rsidRPr="00F463F9">
        <w:rPr>
          <w:i/>
          <w:iCs/>
        </w:rPr>
        <w:t xml:space="preserve">, </w:t>
      </w:r>
      <w:r w:rsidRPr="00F463F9">
        <w:t xml:space="preserve">14, </w:t>
      </w:r>
      <w:r w:rsidR="00464AB4">
        <w:t>200-216</w:t>
      </w:r>
      <w:r w:rsidRPr="00F463F9">
        <w:t>.</w:t>
      </w:r>
    </w:p>
    <w:p w14:paraId="4A2F34E0" w14:textId="317AB31B" w:rsidR="00F070AD" w:rsidRPr="008F74F1" w:rsidRDefault="00C46200" w:rsidP="00C46200">
      <w:pPr>
        <w:pStyle w:val="CETReferencetext"/>
      </w:pPr>
      <w:r>
        <w:t>Taborda T.; Moniz P.; Reis A.; Lopes da Silva</w:t>
      </w:r>
      <w:r w:rsidR="00F070AD" w:rsidRPr="008F74F1">
        <w:t xml:space="preserve"> T.</w:t>
      </w:r>
      <w:r w:rsidR="00F070AD">
        <w:t>, 2020,</w:t>
      </w:r>
      <w:r w:rsidR="00F070AD" w:rsidRPr="008F74F1">
        <w:t xml:space="preserve"> Evaluating low-cost substrates for </w:t>
      </w:r>
      <w:r w:rsidR="00F070AD" w:rsidRPr="008F74F1">
        <w:rPr>
          <w:i/>
        </w:rPr>
        <w:t>Crypthecodnium cohnii</w:t>
      </w:r>
      <w:r w:rsidR="00F070AD" w:rsidRPr="008F74F1">
        <w:t xml:space="preserve"> lipids and DHA p</w:t>
      </w:r>
      <w:r w:rsidR="00F070AD">
        <w:t>roduction, by flow cytomtery. Journal of</w:t>
      </w:r>
      <w:r w:rsidR="00F070AD" w:rsidRPr="008F74F1">
        <w:t xml:space="preserve"> Appl</w:t>
      </w:r>
      <w:r w:rsidR="00F070AD">
        <w:t>ied</w:t>
      </w:r>
      <w:r w:rsidR="00F070AD" w:rsidRPr="008F74F1">
        <w:t xml:space="preserve"> Phycol</w:t>
      </w:r>
      <w:r w:rsidR="00F070AD">
        <w:t>ogy,</w:t>
      </w:r>
      <w:r w:rsidR="00F070AD" w:rsidRPr="008F74F1">
        <w:t xml:space="preserve"> 33, 263–274.</w:t>
      </w:r>
    </w:p>
    <w:p w14:paraId="75993231" w14:textId="2A298070" w:rsidR="00F308BA" w:rsidRDefault="00F308BA" w:rsidP="00C46200">
      <w:pPr>
        <w:pStyle w:val="CETReferencetext"/>
      </w:pPr>
      <w:r>
        <w:t>Wanasundara</w:t>
      </w:r>
      <w:r w:rsidR="00464AB4">
        <w:t xml:space="preserve"> U.</w:t>
      </w:r>
      <w:r>
        <w:t>, Shahidi</w:t>
      </w:r>
      <w:r w:rsidR="00464AB4">
        <w:t xml:space="preserve"> F.</w:t>
      </w:r>
      <w:r>
        <w:t xml:space="preserve">, </w:t>
      </w:r>
      <w:r w:rsidR="00464AB4">
        <w:t xml:space="preserve">1999, </w:t>
      </w:r>
      <w:r>
        <w:t>Concentration of omega-3 polyunsaturated fatty acids of seal blubber oil by urea complexation: Optimization of</w:t>
      </w:r>
      <w:r w:rsidR="00D70FC2">
        <w:t xml:space="preserve"> reaction conditions, Food Chemi</w:t>
      </w:r>
      <w:r w:rsidR="00464AB4">
        <w:t xml:space="preserve">stry, 65, </w:t>
      </w:r>
      <w:r>
        <w:t xml:space="preserve">41–49. </w:t>
      </w:r>
    </w:p>
    <w:p w14:paraId="54829B91" w14:textId="1531168A" w:rsidR="005526C4" w:rsidRDefault="005526C4" w:rsidP="00C46200">
      <w:pPr>
        <w:pStyle w:val="CETReferencetext"/>
      </w:pPr>
      <w:r>
        <w:t>Zhu</w:t>
      </w:r>
      <w:r w:rsidR="00464AB4">
        <w:t xml:space="preserve"> M., </w:t>
      </w:r>
      <w:r>
        <w:t>Zhou</w:t>
      </w:r>
      <w:r w:rsidR="00464AB4">
        <w:t xml:space="preserve"> P.P., </w:t>
      </w:r>
      <w:r>
        <w:t>Yu</w:t>
      </w:r>
      <w:r w:rsidR="00464AB4">
        <w:t xml:space="preserve"> L.J.</w:t>
      </w:r>
      <w:r>
        <w:t>,</w:t>
      </w:r>
      <w:r w:rsidR="00464AB4">
        <w:t xml:space="preserve"> 2000,</w:t>
      </w:r>
      <w:r>
        <w:t xml:space="preserve"> Extraction of lipids from </w:t>
      </w:r>
      <w:r w:rsidRPr="009441FC">
        <w:rPr>
          <w:i/>
        </w:rPr>
        <w:t>Mortierella alpina</w:t>
      </w:r>
      <w:r>
        <w:t xml:space="preserve"> and enrichment of arachidonic acid from the fungal lipids, </w:t>
      </w:r>
      <w:r w:rsidR="00464AB4">
        <w:t>Bioresource</w:t>
      </w:r>
      <w:r>
        <w:t xml:space="preserve"> Technol</w:t>
      </w:r>
      <w:r w:rsidR="00464AB4">
        <w:t>ogy, 84,</w:t>
      </w:r>
      <w:r>
        <w:t xml:space="preserve"> 93–95.</w:t>
      </w:r>
    </w:p>
    <w:p w14:paraId="05F904C4" w14:textId="187451CF" w:rsidR="001D656F" w:rsidRPr="003E3FEF" w:rsidRDefault="001D656F" w:rsidP="006569A2">
      <w:pPr>
        <w:pStyle w:val="CETBodytext"/>
        <w:rPr>
          <w:lang w:val="en-GB"/>
        </w:rPr>
      </w:pPr>
      <w:bookmarkStart w:id="4" w:name="_GoBack"/>
      <w:bookmarkEnd w:id="4"/>
    </w:p>
    <w:sectPr w:rsidR="001D656F" w:rsidRPr="003E3FEF"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9CC2D" w14:textId="77777777" w:rsidR="001775A1" w:rsidRDefault="001775A1" w:rsidP="004F5E36">
      <w:r>
        <w:separator/>
      </w:r>
    </w:p>
  </w:endnote>
  <w:endnote w:type="continuationSeparator" w:id="0">
    <w:p w14:paraId="14139CE9" w14:textId="77777777" w:rsidR="001775A1" w:rsidRDefault="001775A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Roboto Light">
    <w:altName w:val="Times New Roman"/>
    <w:charset w:val="00"/>
    <w:family w:val="auto"/>
    <w:pitch w:val="variable"/>
    <w:sig w:usb0="E00002FF" w:usb1="5000205B" w:usb2="00000020"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99F39" w14:textId="77777777" w:rsidR="001775A1" w:rsidRDefault="001775A1" w:rsidP="004F5E36">
      <w:r>
        <w:separator/>
      </w:r>
    </w:p>
  </w:footnote>
  <w:footnote w:type="continuationSeparator" w:id="0">
    <w:p w14:paraId="5D88ADD9" w14:textId="77777777" w:rsidR="001775A1" w:rsidRDefault="001775A1"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CCA6B86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sz w:val="18"/>
        <w:szCs w:val="18"/>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pt-PT"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en-US" w:vendorID="64" w:dllVersion="131078" w:nlCheck="1" w:checkStyle="0"/>
  <w:activeWritingStyle w:appName="MSWord" w:lang="en-GB" w:vendorID="64" w:dllVersion="131078" w:nlCheck="1" w:checkStyle="0"/>
  <w:activeWritingStyle w:appName="MSWord" w:lang="pt-PT" w:vendorID="64" w:dllVersion="131078" w:nlCheck="1" w:checkStyle="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3148D"/>
    <w:rsid w:val="00031EEC"/>
    <w:rsid w:val="00051566"/>
    <w:rsid w:val="00062A9A"/>
    <w:rsid w:val="00063D77"/>
    <w:rsid w:val="00065058"/>
    <w:rsid w:val="00086C39"/>
    <w:rsid w:val="00096F6D"/>
    <w:rsid w:val="000A03B2"/>
    <w:rsid w:val="000B248C"/>
    <w:rsid w:val="000D0268"/>
    <w:rsid w:val="000D34BE"/>
    <w:rsid w:val="000E102F"/>
    <w:rsid w:val="000E2572"/>
    <w:rsid w:val="000E36F1"/>
    <w:rsid w:val="000E3A73"/>
    <w:rsid w:val="000E414A"/>
    <w:rsid w:val="000F093C"/>
    <w:rsid w:val="000F787B"/>
    <w:rsid w:val="001021C8"/>
    <w:rsid w:val="0012091F"/>
    <w:rsid w:val="00126BC2"/>
    <w:rsid w:val="001308B6"/>
    <w:rsid w:val="0013121F"/>
    <w:rsid w:val="00131FE6"/>
    <w:rsid w:val="0013263F"/>
    <w:rsid w:val="001331DF"/>
    <w:rsid w:val="00134DE4"/>
    <w:rsid w:val="0014034D"/>
    <w:rsid w:val="001434EF"/>
    <w:rsid w:val="00144D16"/>
    <w:rsid w:val="00150E59"/>
    <w:rsid w:val="00152DE3"/>
    <w:rsid w:val="0015415F"/>
    <w:rsid w:val="00164CF9"/>
    <w:rsid w:val="00165696"/>
    <w:rsid w:val="001667A6"/>
    <w:rsid w:val="00175D73"/>
    <w:rsid w:val="001775A1"/>
    <w:rsid w:val="00184AD6"/>
    <w:rsid w:val="00197E69"/>
    <w:rsid w:val="001A4AF7"/>
    <w:rsid w:val="001B0349"/>
    <w:rsid w:val="001B1E93"/>
    <w:rsid w:val="001B65C1"/>
    <w:rsid w:val="001C684B"/>
    <w:rsid w:val="001D0CFB"/>
    <w:rsid w:val="001D21AF"/>
    <w:rsid w:val="001D53FC"/>
    <w:rsid w:val="001D656F"/>
    <w:rsid w:val="001E1C37"/>
    <w:rsid w:val="001E2016"/>
    <w:rsid w:val="001F42A5"/>
    <w:rsid w:val="001F7B9D"/>
    <w:rsid w:val="00201C93"/>
    <w:rsid w:val="002224B4"/>
    <w:rsid w:val="002447EF"/>
    <w:rsid w:val="00251550"/>
    <w:rsid w:val="00263B05"/>
    <w:rsid w:val="0027221A"/>
    <w:rsid w:val="00275B61"/>
    <w:rsid w:val="00276099"/>
    <w:rsid w:val="00280FAF"/>
    <w:rsid w:val="00282656"/>
    <w:rsid w:val="00296B83"/>
    <w:rsid w:val="002A00B3"/>
    <w:rsid w:val="002A6BEF"/>
    <w:rsid w:val="002B4015"/>
    <w:rsid w:val="002B78CE"/>
    <w:rsid w:val="002B7AB7"/>
    <w:rsid w:val="002C2FB6"/>
    <w:rsid w:val="002C67E8"/>
    <w:rsid w:val="002E5FA7"/>
    <w:rsid w:val="002F3309"/>
    <w:rsid w:val="003008CE"/>
    <w:rsid w:val="003009B7"/>
    <w:rsid w:val="00300E56"/>
    <w:rsid w:val="0030469C"/>
    <w:rsid w:val="0030577E"/>
    <w:rsid w:val="003159AB"/>
    <w:rsid w:val="00321CA6"/>
    <w:rsid w:val="00323763"/>
    <w:rsid w:val="00334C09"/>
    <w:rsid w:val="00356372"/>
    <w:rsid w:val="003723D4"/>
    <w:rsid w:val="003800A8"/>
    <w:rsid w:val="00381905"/>
    <w:rsid w:val="00384CC8"/>
    <w:rsid w:val="00386418"/>
    <w:rsid w:val="003864EE"/>
    <w:rsid w:val="003871FD"/>
    <w:rsid w:val="003A1E30"/>
    <w:rsid w:val="003A2829"/>
    <w:rsid w:val="003A7D1C"/>
    <w:rsid w:val="003B304B"/>
    <w:rsid w:val="003B3146"/>
    <w:rsid w:val="003E3FEF"/>
    <w:rsid w:val="003F015E"/>
    <w:rsid w:val="00400414"/>
    <w:rsid w:val="0041446B"/>
    <w:rsid w:val="00422958"/>
    <w:rsid w:val="0044071E"/>
    <w:rsid w:val="0044329C"/>
    <w:rsid w:val="00453E24"/>
    <w:rsid w:val="00457456"/>
    <w:rsid w:val="004577FE"/>
    <w:rsid w:val="00457B9C"/>
    <w:rsid w:val="0046164A"/>
    <w:rsid w:val="004628D2"/>
    <w:rsid w:val="00462DCD"/>
    <w:rsid w:val="004648AD"/>
    <w:rsid w:val="00464AB4"/>
    <w:rsid w:val="00465B8E"/>
    <w:rsid w:val="004703A9"/>
    <w:rsid w:val="004760DE"/>
    <w:rsid w:val="004763D7"/>
    <w:rsid w:val="00493740"/>
    <w:rsid w:val="004A004E"/>
    <w:rsid w:val="004A24CF"/>
    <w:rsid w:val="004C3D1D"/>
    <w:rsid w:val="004C7913"/>
    <w:rsid w:val="004E47B2"/>
    <w:rsid w:val="004E4DD6"/>
    <w:rsid w:val="004E518D"/>
    <w:rsid w:val="004E6062"/>
    <w:rsid w:val="004F448E"/>
    <w:rsid w:val="004F5E36"/>
    <w:rsid w:val="00507B47"/>
    <w:rsid w:val="00507BEF"/>
    <w:rsid w:val="00507CC9"/>
    <w:rsid w:val="005119A5"/>
    <w:rsid w:val="005278B7"/>
    <w:rsid w:val="00531332"/>
    <w:rsid w:val="00532016"/>
    <w:rsid w:val="005346C8"/>
    <w:rsid w:val="00543E7D"/>
    <w:rsid w:val="00547A68"/>
    <w:rsid w:val="005526C4"/>
    <w:rsid w:val="005531C9"/>
    <w:rsid w:val="00570C43"/>
    <w:rsid w:val="00574756"/>
    <w:rsid w:val="005B2110"/>
    <w:rsid w:val="005B395F"/>
    <w:rsid w:val="005B61E6"/>
    <w:rsid w:val="005C1492"/>
    <w:rsid w:val="005C77E1"/>
    <w:rsid w:val="005D260A"/>
    <w:rsid w:val="005D668A"/>
    <w:rsid w:val="005D6A2F"/>
    <w:rsid w:val="005E1A82"/>
    <w:rsid w:val="005E794C"/>
    <w:rsid w:val="005F0A28"/>
    <w:rsid w:val="005F0E5E"/>
    <w:rsid w:val="005F2533"/>
    <w:rsid w:val="00600535"/>
    <w:rsid w:val="00604911"/>
    <w:rsid w:val="00610CD6"/>
    <w:rsid w:val="00620DEE"/>
    <w:rsid w:val="00621F92"/>
    <w:rsid w:val="0062280A"/>
    <w:rsid w:val="00625639"/>
    <w:rsid w:val="00631B33"/>
    <w:rsid w:val="0064184D"/>
    <w:rsid w:val="00641D45"/>
    <w:rsid w:val="006422CC"/>
    <w:rsid w:val="006569A2"/>
    <w:rsid w:val="00660E3E"/>
    <w:rsid w:val="00662E74"/>
    <w:rsid w:val="00680C23"/>
    <w:rsid w:val="006825AD"/>
    <w:rsid w:val="00693766"/>
    <w:rsid w:val="006A3281"/>
    <w:rsid w:val="006B3A2A"/>
    <w:rsid w:val="006B4888"/>
    <w:rsid w:val="006C2E45"/>
    <w:rsid w:val="006C359C"/>
    <w:rsid w:val="006C5579"/>
    <w:rsid w:val="006D4396"/>
    <w:rsid w:val="006D6E8B"/>
    <w:rsid w:val="006E737D"/>
    <w:rsid w:val="006F0902"/>
    <w:rsid w:val="006F206D"/>
    <w:rsid w:val="00702DB8"/>
    <w:rsid w:val="00703BEC"/>
    <w:rsid w:val="00713973"/>
    <w:rsid w:val="00720A24"/>
    <w:rsid w:val="00732386"/>
    <w:rsid w:val="0073514D"/>
    <w:rsid w:val="00736475"/>
    <w:rsid w:val="007431B0"/>
    <w:rsid w:val="007447F3"/>
    <w:rsid w:val="0075499F"/>
    <w:rsid w:val="007661C8"/>
    <w:rsid w:val="0077098D"/>
    <w:rsid w:val="00781587"/>
    <w:rsid w:val="007931FA"/>
    <w:rsid w:val="00793B1D"/>
    <w:rsid w:val="007A4861"/>
    <w:rsid w:val="007A7BBA"/>
    <w:rsid w:val="007B0C50"/>
    <w:rsid w:val="007B48F9"/>
    <w:rsid w:val="007C1A43"/>
    <w:rsid w:val="007C1FF9"/>
    <w:rsid w:val="007D4317"/>
    <w:rsid w:val="0080013E"/>
    <w:rsid w:val="00813288"/>
    <w:rsid w:val="008168FC"/>
    <w:rsid w:val="008201C0"/>
    <w:rsid w:val="00830996"/>
    <w:rsid w:val="008345F1"/>
    <w:rsid w:val="0083624D"/>
    <w:rsid w:val="00856019"/>
    <w:rsid w:val="00865B07"/>
    <w:rsid w:val="008667EA"/>
    <w:rsid w:val="0087637F"/>
    <w:rsid w:val="00886C89"/>
    <w:rsid w:val="00892AD5"/>
    <w:rsid w:val="008A1512"/>
    <w:rsid w:val="008A2489"/>
    <w:rsid w:val="008C5A9E"/>
    <w:rsid w:val="008D32B9"/>
    <w:rsid w:val="008D433B"/>
    <w:rsid w:val="008E566E"/>
    <w:rsid w:val="008F01E1"/>
    <w:rsid w:val="008F74F1"/>
    <w:rsid w:val="008F75AF"/>
    <w:rsid w:val="0090161A"/>
    <w:rsid w:val="00901EB6"/>
    <w:rsid w:val="00904C62"/>
    <w:rsid w:val="00922BA8"/>
    <w:rsid w:val="00924DAC"/>
    <w:rsid w:val="00927058"/>
    <w:rsid w:val="00937C7E"/>
    <w:rsid w:val="00942750"/>
    <w:rsid w:val="009441FC"/>
    <w:rsid w:val="009450CE"/>
    <w:rsid w:val="00945AB6"/>
    <w:rsid w:val="00947179"/>
    <w:rsid w:val="0095164B"/>
    <w:rsid w:val="00954090"/>
    <w:rsid w:val="009573E7"/>
    <w:rsid w:val="00961316"/>
    <w:rsid w:val="00963E05"/>
    <w:rsid w:val="00964A45"/>
    <w:rsid w:val="00965D0A"/>
    <w:rsid w:val="0096733F"/>
    <w:rsid w:val="00967843"/>
    <w:rsid w:val="00967D54"/>
    <w:rsid w:val="009709AD"/>
    <w:rsid w:val="00971028"/>
    <w:rsid w:val="00980178"/>
    <w:rsid w:val="00993B84"/>
    <w:rsid w:val="00996483"/>
    <w:rsid w:val="00996F5A"/>
    <w:rsid w:val="009A2F91"/>
    <w:rsid w:val="009B041A"/>
    <w:rsid w:val="009C37C3"/>
    <w:rsid w:val="009C79C4"/>
    <w:rsid w:val="009C7C86"/>
    <w:rsid w:val="009D0139"/>
    <w:rsid w:val="009D2FF7"/>
    <w:rsid w:val="009D51A6"/>
    <w:rsid w:val="009E4E22"/>
    <w:rsid w:val="009E7884"/>
    <w:rsid w:val="009E788A"/>
    <w:rsid w:val="009F0E08"/>
    <w:rsid w:val="00A1763D"/>
    <w:rsid w:val="00A17CEC"/>
    <w:rsid w:val="00A22AE0"/>
    <w:rsid w:val="00A27EF0"/>
    <w:rsid w:val="00A42361"/>
    <w:rsid w:val="00A50B20"/>
    <w:rsid w:val="00A51390"/>
    <w:rsid w:val="00A53A9E"/>
    <w:rsid w:val="00A60D13"/>
    <w:rsid w:val="00A72745"/>
    <w:rsid w:val="00A76EFC"/>
    <w:rsid w:val="00A91010"/>
    <w:rsid w:val="00A93B56"/>
    <w:rsid w:val="00A97F29"/>
    <w:rsid w:val="00AA3706"/>
    <w:rsid w:val="00AA702E"/>
    <w:rsid w:val="00AB0964"/>
    <w:rsid w:val="00AB5011"/>
    <w:rsid w:val="00AB5F88"/>
    <w:rsid w:val="00AB74FE"/>
    <w:rsid w:val="00AC045B"/>
    <w:rsid w:val="00AC7368"/>
    <w:rsid w:val="00AD16B9"/>
    <w:rsid w:val="00AE377D"/>
    <w:rsid w:val="00AF0EBA"/>
    <w:rsid w:val="00AF6775"/>
    <w:rsid w:val="00B01729"/>
    <w:rsid w:val="00B02C8A"/>
    <w:rsid w:val="00B17FBD"/>
    <w:rsid w:val="00B315A6"/>
    <w:rsid w:val="00B31813"/>
    <w:rsid w:val="00B33365"/>
    <w:rsid w:val="00B54296"/>
    <w:rsid w:val="00B57B36"/>
    <w:rsid w:val="00B57E6F"/>
    <w:rsid w:val="00B8686D"/>
    <w:rsid w:val="00B93F69"/>
    <w:rsid w:val="00BB1DDC"/>
    <w:rsid w:val="00BC30C9"/>
    <w:rsid w:val="00BD01EA"/>
    <w:rsid w:val="00BD077D"/>
    <w:rsid w:val="00BE3E58"/>
    <w:rsid w:val="00C01616"/>
    <w:rsid w:val="00C0162B"/>
    <w:rsid w:val="00C068ED"/>
    <w:rsid w:val="00C138B8"/>
    <w:rsid w:val="00C22E0C"/>
    <w:rsid w:val="00C345B1"/>
    <w:rsid w:val="00C40142"/>
    <w:rsid w:val="00C426D4"/>
    <w:rsid w:val="00C46200"/>
    <w:rsid w:val="00C503AF"/>
    <w:rsid w:val="00C51A0A"/>
    <w:rsid w:val="00C52C3C"/>
    <w:rsid w:val="00C57182"/>
    <w:rsid w:val="00C57863"/>
    <w:rsid w:val="00C655FD"/>
    <w:rsid w:val="00C75407"/>
    <w:rsid w:val="00C870A8"/>
    <w:rsid w:val="00C94434"/>
    <w:rsid w:val="00CA0D75"/>
    <w:rsid w:val="00CA1C95"/>
    <w:rsid w:val="00CA4B59"/>
    <w:rsid w:val="00CA5A9C"/>
    <w:rsid w:val="00CC4C20"/>
    <w:rsid w:val="00CD3517"/>
    <w:rsid w:val="00CD5FE2"/>
    <w:rsid w:val="00CE7C68"/>
    <w:rsid w:val="00CF5254"/>
    <w:rsid w:val="00D02B4C"/>
    <w:rsid w:val="00D040C4"/>
    <w:rsid w:val="00D17042"/>
    <w:rsid w:val="00D37ECA"/>
    <w:rsid w:val="00D44C4E"/>
    <w:rsid w:val="00D46B7E"/>
    <w:rsid w:val="00D47E24"/>
    <w:rsid w:val="00D57C84"/>
    <w:rsid w:val="00D6057D"/>
    <w:rsid w:val="00D70FC2"/>
    <w:rsid w:val="00D71640"/>
    <w:rsid w:val="00D836C5"/>
    <w:rsid w:val="00D84576"/>
    <w:rsid w:val="00DA1399"/>
    <w:rsid w:val="00DA24C6"/>
    <w:rsid w:val="00DA4D7B"/>
    <w:rsid w:val="00DC54EF"/>
    <w:rsid w:val="00DE264A"/>
    <w:rsid w:val="00DF5072"/>
    <w:rsid w:val="00DF7C49"/>
    <w:rsid w:val="00E02D18"/>
    <w:rsid w:val="00E041E7"/>
    <w:rsid w:val="00E125BA"/>
    <w:rsid w:val="00E23CA1"/>
    <w:rsid w:val="00E409A8"/>
    <w:rsid w:val="00E43D51"/>
    <w:rsid w:val="00E50C12"/>
    <w:rsid w:val="00E6116D"/>
    <w:rsid w:val="00E65B91"/>
    <w:rsid w:val="00E7209D"/>
    <w:rsid w:val="00E72EAD"/>
    <w:rsid w:val="00E77223"/>
    <w:rsid w:val="00E8528B"/>
    <w:rsid w:val="00E85B94"/>
    <w:rsid w:val="00E978D0"/>
    <w:rsid w:val="00EA3D45"/>
    <w:rsid w:val="00EA4613"/>
    <w:rsid w:val="00EA7F91"/>
    <w:rsid w:val="00EB1523"/>
    <w:rsid w:val="00EC0E49"/>
    <w:rsid w:val="00EC101F"/>
    <w:rsid w:val="00EC1D9F"/>
    <w:rsid w:val="00EC4CA9"/>
    <w:rsid w:val="00EE0131"/>
    <w:rsid w:val="00EE17B0"/>
    <w:rsid w:val="00EF06D9"/>
    <w:rsid w:val="00F066EE"/>
    <w:rsid w:val="00F070AD"/>
    <w:rsid w:val="00F14B2B"/>
    <w:rsid w:val="00F15223"/>
    <w:rsid w:val="00F20E3D"/>
    <w:rsid w:val="00F308BA"/>
    <w:rsid w:val="00F30C64"/>
    <w:rsid w:val="00F32BA2"/>
    <w:rsid w:val="00F32CDB"/>
    <w:rsid w:val="00F559CA"/>
    <w:rsid w:val="00F565FE"/>
    <w:rsid w:val="00F63A70"/>
    <w:rsid w:val="00F7534E"/>
    <w:rsid w:val="00FA1802"/>
    <w:rsid w:val="00FA21D0"/>
    <w:rsid w:val="00FA5F5F"/>
    <w:rsid w:val="00FB6C09"/>
    <w:rsid w:val="00FB6FD2"/>
    <w:rsid w:val="00FB730C"/>
    <w:rsid w:val="00FC181E"/>
    <w:rsid w:val="00FC2695"/>
    <w:rsid w:val="00FC3E03"/>
    <w:rsid w:val="00FC3FC1"/>
    <w:rsid w:val="00FD0A8C"/>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529D369C-25E8-44C7-A8C4-2630FE954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856019"/>
    <w:pPr>
      <w:keepNext/>
      <w:numPr>
        <w:ilvl w:val="2"/>
        <w:numId w:val="1"/>
      </w:numPr>
      <w:suppressAutoHyphens/>
      <w:spacing w:before="120" w:after="120" w:line="240" w:lineRule="auto"/>
    </w:pPr>
    <w:rPr>
      <w:rFonts w:ascii="Arial" w:eastAsia="Times New Roman" w:hAnsi="Arial" w:cs="Times New Roman"/>
      <w:b/>
      <w:i/>
      <w:iCs/>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856019"/>
    <w:rPr>
      <w:rFonts w:ascii="Arial" w:eastAsia="Times New Roman" w:hAnsi="Arial" w:cs="Times New Roman"/>
      <w:b/>
      <w:i/>
      <w:iCs/>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tabs>
        <w:tab w:val="clear" w:pos="643"/>
      </w:tabs>
      <w:ind w:left="3033" w:hanging="425"/>
      <w:contextualSpacing/>
    </w:pPr>
  </w:style>
  <w:style w:type="paragraph" w:styleId="ListBullet3">
    <w:name w:val="List Bullet 3"/>
    <w:basedOn w:val="Normal"/>
    <w:uiPriority w:val="99"/>
    <w:semiHidden/>
    <w:unhideWhenUsed/>
    <w:rsid w:val="0003148D"/>
    <w:pPr>
      <w:numPr>
        <w:numId w:val="9"/>
      </w:numPr>
      <w:tabs>
        <w:tab w:val="clear" w:pos="926"/>
      </w:tabs>
      <w:ind w:left="3033" w:hanging="425"/>
      <w:contextualSpacing/>
    </w:pPr>
  </w:style>
  <w:style w:type="paragraph" w:styleId="ListBullet4">
    <w:name w:val="List Bullet 4"/>
    <w:basedOn w:val="Normal"/>
    <w:uiPriority w:val="99"/>
    <w:semiHidden/>
    <w:unhideWhenUsed/>
    <w:rsid w:val="0003148D"/>
    <w:pPr>
      <w:numPr>
        <w:numId w:val="10"/>
      </w:numPr>
      <w:tabs>
        <w:tab w:val="clear" w:pos="1209"/>
      </w:tabs>
      <w:ind w:left="3033" w:hanging="425"/>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i/>
      <w:iCs/>
      <w:sz w:val="18"/>
      <w:szCs w:val="20"/>
      <w:lang w:val="en-US"/>
    </w:rPr>
  </w:style>
  <w:style w:type="paragraph" w:styleId="ListParagraph">
    <w:name w:val="List Paragraph"/>
    <w:basedOn w:val="Normal"/>
    <w:uiPriority w:val="34"/>
    <w:rsid w:val="00280FAF"/>
    <w:pPr>
      <w:ind w:left="720"/>
      <w:contextualSpacing/>
    </w:pPr>
  </w:style>
  <w:style w:type="character" w:customStyle="1" w:styleId="FigureTablesChar">
    <w:name w:val="Figure &amp; Tables Char"/>
    <w:basedOn w:val="DefaultParagraphFont"/>
    <w:link w:val="FigureTables"/>
    <w:locked/>
    <w:rsid w:val="005C1492"/>
    <w:rPr>
      <w:rFonts w:ascii="Roboto Light" w:hAnsi="Roboto Light"/>
      <w:noProof/>
      <w:sz w:val="18"/>
      <w:szCs w:val="18"/>
    </w:rPr>
  </w:style>
  <w:style w:type="paragraph" w:customStyle="1" w:styleId="FigureTables">
    <w:name w:val="Figure &amp; Tables"/>
    <w:basedOn w:val="Normal"/>
    <w:link w:val="FigureTablesChar"/>
    <w:qFormat/>
    <w:rsid w:val="005C1492"/>
    <w:pPr>
      <w:tabs>
        <w:tab w:val="clear" w:pos="7100"/>
      </w:tabs>
      <w:spacing w:line="240" w:lineRule="auto"/>
      <w:jc w:val="center"/>
    </w:pPr>
    <w:rPr>
      <w:rFonts w:ascii="Roboto Light" w:eastAsiaTheme="minorHAnsi" w:hAnsi="Roboto Light" w:cstheme="minorBidi"/>
      <w:noProof/>
      <w:szCs w:val="18"/>
      <w:lang w:val="it-IT"/>
    </w:rPr>
  </w:style>
  <w:style w:type="character" w:styleId="Emphasis">
    <w:name w:val="Emphasis"/>
    <w:basedOn w:val="DefaultParagraphFont"/>
    <w:uiPriority w:val="20"/>
    <w:qFormat/>
    <w:rsid w:val="008F74F1"/>
    <w:rPr>
      <w:i/>
      <w:iCs/>
    </w:rPr>
  </w:style>
  <w:style w:type="character" w:customStyle="1" w:styleId="ref-journal">
    <w:name w:val="ref-journal"/>
    <w:basedOn w:val="DefaultParagraphFont"/>
    <w:rsid w:val="008F74F1"/>
  </w:style>
  <w:style w:type="character" w:customStyle="1" w:styleId="ref-vol">
    <w:name w:val="ref-vol"/>
    <w:basedOn w:val="DefaultParagraphFont"/>
    <w:rsid w:val="008F7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34482">
      <w:bodyDiv w:val="1"/>
      <w:marLeft w:val="0"/>
      <w:marRight w:val="0"/>
      <w:marTop w:val="0"/>
      <w:marBottom w:val="0"/>
      <w:divBdr>
        <w:top w:val="none" w:sz="0" w:space="0" w:color="auto"/>
        <w:left w:val="none" w:sz="0" w:space="0" w:color="auto"/>
        <w:bottom w:val="none" w:sz="0" w:space="0" w:color="auto"/>
        <w:right w:val="none" w:sz="0" w:space="0" w:color="auto"/>
      </w:divBdr>
    </w:div>
    <w:div w:id="498925986">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2141">
      <w:bodyDiv w:val="1"/>
      <w:marLeft w:val="0"/>
      <w:marRight w:val="0"/>
      <w:marTop w:val="0"/>
      <w:marBottom w:val="0"/>
      <w:divBdr>
        <w:top w:val="none" w:sz="0" w:space="0" w:color="auto"/>
        <w:left w:val="none" w:sz="0" w:space="0" w:color="auto"/>
        <w:bottom w:val="none" w:sz="0" w:space="0" w:color="auto"/>
        <w:right w:val="none" w:sz="0" w:space="0" w:color="auto"/>
      </w:divBdr>
    </w:div>
    <w:div w:id="1196888368">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841235">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oleObject" Target="file:///D:\grafico%20ibic.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a:noFill/>
              </a:ln>
              <a:effectLst>
                <a:outerShdw blurRad="40000" dist="20000" dir="5400000" rotWithShape="0">
                  <a:srgbClr val="000000">
                    <a:alpha val="38000"/>
                  </a:srgbClr>
                </a:outerShdw>
              </a:effectLst>
              <a:sp3d/>
            </c:spPr>
            <c:extLst>
              <c:ext xmlns:c16="http://schemas.microsoft.com/office/drawing/2014/chart" uri="{C3380CC4-5D6E-409C-BE32-E72D297353CC}">
                <c16:uniqueId val="{00000001-E177-4E65-8171-AD46CA795738}"/>
              </c:ext>
            </c:extLst>
          </c:dPt>
          <c:dPt>
            <c:idx val="1"/>
            <c:bubble3D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a:noFill/>
              </a:ln>
              <a:effectLst>
                <a:outerShdw blurRad="40000" dist="20000" dir="5400000" rotWithShape="0">
                  <a:srgbClr val="000000">
                    <a:alpha val="38000"/>
                  </a:srgbClr>
                </a:outerShdw>
              </a:effectLst>
              <a:sp3d/>
            </c:spPr>
            <c:extLst>
              <c:ext xmlns:c16="http://schemas.microsoft.com/office/drawing/2014/chart" uri="{C3380CC4-5D6E-409C-BE32-E72D297353CC}">
                <c16:uniqueId val="{00000003-E177-4E65-8171-AD46CA795738}"/>
              </c:ext>
            </c:extLst>
          </c:dPt>
          <c:dPt>
            <c:idx val="2"/>
            <c:bubble3D val="0"/>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a:noFill/>
              </a:ln>
              <a:effectLst>
                <a:outerShdw blurRad="40000" dist="20000" dir="5400000" rotWithShape="0">
                  <a:srgbClr val="000000">
                    <a:alpha val="38000"/>
                  </a:srgbClr>
                </a:outerShdw>
              </a:effectLst>
              <a:sp3d/>
            </c:spPr>
            <c:extLst>
              <c:ext xmlns:c16="http://schemas.microsoft.com/office/drawing/2014/chart" uri="{C3380CC4-5D6E-409C-BE32-E72D297353CC}">
                <c16:uniqueId val="{00000005-E177-4E65-8171-AD46CA795738}"/>
              </c:ext>
            </c:extLst>
          </c:dPt>
          <c:dPt>
            <c:idx val="3"/>
            <c:bubble3D val="0"/>
            <c:spPr>
              <a:solidFill>
                <a:schemeClr val="accent2">
                  <a:lumMod val="75000"/>
                </a:schemeClr>
              </a:solidFill>
              <a:ln>
                <a:noFill/>
              </a:ln>
              <a:effectLst>
                <a:outerShdw blurRad="40000" dist="20000" dir="5400000" rotWithShape="0">
                  <a:srgbClr val="000000">
                    <a:alpha val="38000"/>
                  </a:srgbClr>
                </a:outerShdw>
              </a:effectLst>
              <a:sp3d/>
            </c:spPr>
            <c:extLst>
              <c:ext xmlns:c16="http://schemas.microsoft.com/office/drawing/2014/chart" uri="{C3380CC4-5D6E-409C-BE32-E72D297353CC}">
                <c16:uniqueId val="{00000007-E177-4E65-8171-AD46CA795738}"/>
              </c:ext>
            </c:extLst>
          </c:dPt>
          <c:dPt>
            <c:idx val="4"/>
            <c:bubble3D val="0"/>
            <c:spPr>
              <a:gradFill rotWithShape="1">
                <a:gsLst>
                  <a:gs pos="0">
                    <a:schemeClr val="accent4">
                      <a:lumMod val="60000"/>
                      <a:tint val="50000"/>
                      <a:satMod val="300000"/>
                    </a:schemeClr>
                  </a:gs>
                  <a:gs pos="35000">
                    <a:schemeClr val="accent4">
                      <a:lumMod val="60000"/>
                      <a:tint val="37000"/>
                      <a:satMod val="300000"/>
                    </a:schemeClr>
                  </a:gs>
                  <a:gs pos="100000">
                    <a:schemeClr val="accent4">
                      <a:lumMod val="60000"/>
                      <a:tint val="15000"/>
                      <a:satMod val="350000"/>
                    </a:schemeClr>
                  </a:gs>
                </a:gsLst>
                <a:lin ang="16200000" scaled="1"/>
              </a:gradFill>
              <a:ln>
                <a:noFill/>
              </a:ln>
              <a:effectLst>
                <a:outerShdw blurRad="40000" dist="20000" dir="5400000" rotWithShape="0">
                  <a:srgbClr val="000000">
                    <a:alpha val="38000"/>
                  </a:srgbClr>
                </a:outerShdw>
              </a:effectLst>
              <a:sp3d/>
            </c:spPr>
            <c:extLst>
              <c:ext xmlns:c16="http://schemas.microsoft.com/office/drawing/2014/chart" uri="{C3380CC4-5D6E-409C-BE32-E72D297353CC}">
                <c16:uniqueId val="{00000009-E177-4E65-8171-AD46CA795738}"/>
              </c:ext>
            </c:extLst>
          </c:dPt>
          <c:dPt>
            <c:idx val="5"/>
            <c:bubble3D val="0"/>
            <c:spPr>
              <a:gradFill rotWithShape="1">
                <a:gsLst>
                  <a:gs pos="0">
                    <a:schemeClr val="accent6">
                      <a:lumMod val="60000"/>
                      <a:tint val="50000"/>
                      <a:satMod val="300000"/>
                    </a:schemeClr>
                  </a:gs>
                  <a:gs pos="35000">
                    <a:schemeClr val="accent6">
                      <a:lumMod val="60000"/>
                      <a:tint val="37000"/>
                      <a:satMod val="300000"/>
                    </a:schemeClr>
                  </a:gs>
                  <a:gs pos="100000">
                    <a:schemeClr val="accent6">
                      <a:lumMod val="60000"/>
                      <a:tint val="15000"/>
                      <a:satMod val="350000"/>
                    </a:schemeClr>
                  </a:gs>
                </a:gsLst>
                <a:lin ang="16200000" scaled="1"/>
              </a:gradFill>
              <a:ln>
                <a:noFill/>
              </a:ln>
              <a:effectLst>
                <a:outerShdw blurRad="40000" dist="20000" dir="5400000" rotWithShape="0">
                  <a:srgbClr val="000000">
                    <a:alpha val="38000"/>
                  </a:srgbClr>
                </a:outerShdw>
              </a:effectLst>
              <a:sp3d/>
            </c:spPr>
            <c:extLst>
              <c:ext xmlns:c16="http://schemas.microsoft.com/office/drawing/2014/chart" uri="{C3380CC4-5D6E-409C-BE32-E72D297353CC}">
                <c16:uniqueId val="{0000000B-E177-4E65-8171-AD46CA795738}"/>
              </c:ext>
            </c:extLst>
          </c:dPt>
          <c:dPt>
            <c:idx val="6"/>
            <c:bubble3D val="0"/>
            <c:spPr>
              <a:solidFill>
                <a:schemeClr val="accent2">
                  <a:lumMod val="40000"/>
                  <a:lumOff val="60000"/>
                </a:schemeClr>
              </a:solidFill>
              <a:ln>
                <a:noFill/>
              </a:ln>
              <a:effectLst>
                <a:outerShdw blurRad="40000" dist="20000" dir="5400000" rotWithShape="0">
                  <a:srgbClr val="000000">
                    <a:alpha val="38000"/>
                  </a:srgbClr>
                </a:outerShdw>
              </a:effectLst>
              <a:sp3d/>
            </c:spPr>
            <c:extLst>
              <c:ext xmlns:c16="http://schemas.microsoft.com/office/drawing/2014/chart" uri="{C3380CC4-5D6E-409C-BE32-E72D297353CC}">
                <c16:uniqueId val="{0000000D-E177-4E65-8171-AD46CA795738}"/>
              </c:ext>
            </c:extLst>
          </c:dPt>
          <c:dPt>
            <c:idx val="7"/>
            <c:bubble3D val="0"/>
            <c:spPr>
              <a:gradFill rotWithShape="1">
                <a:gsLst>
                  <a:gs pos="0">
                    <a:schemeClr val="accent4">
                      <a:lumMod val="80000"/>
                      <a:lumOff val="20000"/>
                      <a:tint val="50000"/>
                      <a:satMod val="300000"/>
                    </a:schemeClr>
                  </a:gs>
                  <a:gs pos="35000">
                    <a:schemeClr val="accent4">
                      <a:lumMod val="80000"/>
                      <a:lumOff val="20000"/>
                      <a:tint val="37000"/>
                      <a:satMod val="300000"/>
                    </a:schemeClr>
                  </a:gs>
                  <a:gs pos="100000">
                    <a:schemeClr val="accent4">
                      <a:lumMod val="80000"/>
                      <a:lumOff val="20000"/>
                      <a:tint val="15000"/>
                      <a:satMod val="350000"/>
                    </a:schemeClr>
                  </a:gs>
                </a:gsLst>
                <a:lin ang="16200000" scaled="1"/>
              </a:gradFill>
              <a:ln>
                <a:noFill/>
              </a:ln>
              <a:effectLst>
                <a:outerShdw blurRad="40000" dist="20000" dir="5400000" rotWithShape="0">
                  <a:srgbClr val="000000">
                    <a:alpha val="38000"/>
                  </a:srgbClr>
                </a:outerShdw>
              </a:effectLst>
              <a:sp3d/>
            </c:spPr>
            <c:extLst>
              <c:ext xmlns:c16="http://schemas.microsoft.com/office/drawing/2014/chart" uri="{C3380CC4-5D6E-409C-BE32-E72D297353CC}">
                <c16:uniqueId val="{0000000F-E177-4E65-8171-AD46CA795738}"/>
              </c:ext>
            </c:extLst>
          </c:dPt>
          <c:dPt>
            <c:idx val="8"/>
            <c:bubble3D val="0"/>
            <c:spPr>
              <a:gradFill rotWithShape="1">
                <a:gsLst>
                  <a:gs pos="0">
                    <a:schemeClr val="accent6">
                      <a:lumMod val="80000"/>
                      <a:lumOff val="20000"/>
                      <a:tint val="50000"/>
                      <a:satMod val="300000"/>
                    </a:schemeClr>
                  </a:gs>
                  <a:gs pos="35000">
                    <a:schemeClr val="accent6">
                      <a:lumMod val="80000"/>
                      <a:lumOff val="20000"/>
                      <a:tint val="37000"/>
                      <a:satMod val="300000"/>
                    </a:schemeClr>
                  </a:gs>
                  <a:gs pos="100000">
                    <a:schemeClr val="accent6">
                      <a:lumMod val="80000"/>
                      <a:lumOff val="20000"/>
                      <a:tint val="15000"/>
                      <a:satMod val="350000"/>
                    </a:schemeClr>
                  </a:gs>
                </a:gsLst>
                <a:lin ang="16200000" scaled="1"/>
              </a:gradFill>
              <a:ln>
                <a:noFill/>
              </a:ln>
              <a:effectLst>
                <a:outerShdw blurRad="40000" dist="20000" dir="5400000" rotWithShape="0">
                  <a:srgbClr val="000000">
                    <a:alpha val="38000"/>
                  </a:srgbClr>
                </a:outerShdw>
              </a:effectLst>
              <a:sp3d/>
            </c:spPr>
            <c:extLst>
              <c:ext xmlns:c16="http://schemas.microsoft.com/office/drawing/2014/chart" uri="{C3380CC4-5D6E-409C-BE32-E72D297353CC}">
                <c16:uniqueId val="{00000011-E177-4E65-8171-AD46CA795738}"/>
              </c:ext>
            </c:extLst>
          </c:dPt>
          <c:dPt>
            <c:idx val="9"/>
            <c:bubble3D val="0"/>
            <c:spPr>
              <a:gradFill rotWithShape="1">
                <a:gsLst>
                  <a:gs pos="0">
                    <a:schemeClr val="accent2">
                      <a:lumMod val="80000"/>
                      <a:tint val="50000"/>
                      <a:satMod val="300000"/>
                    </a:schemeClr>
                  </a:gs>
                  <a:gs pos="35000">
                    <a:schemeClr val="accent2">
                      <a:lumMod val="80000"/>
                      <a:tint val="37000"/>
                      <a:satMod val="300000"/>
                    </a:schemeClr>
                  </a:gs>
                  <a:gs pos="100000">
                    <a:schemeClr val="accent2">
                      <a:lumMod val="80000"/>
                      <a:tint val="15000"/>
                      <a:satMod val="350000"/>
                    </a:schemeClr>
                  </a:gs>
                </a:gsLst>
                <a:lin ang="16200000" scaled="1"/>
              </a:gradFill>
              <a:ln>
                <a:noFill/>
              </a:ln>
              <a:effectLst>
                <a:outerShdw blurRad="40000" dist="20000" dir="5400000" rotWithShape="0">
                  <a:srgbClr val="000000">
                    <a:alpha val="38000"/>
                  </a:srgbClr>
                </a:outerShdw>
              </a:effectLst>
              <a:sp3d/>
            </c:spPr>
            <c:extLst>
              <c:ext xmlns:c16="http://schemas.microsoft.com/office/drawing/2014/chart" uri="{C3380CC4-5D6E-409C-BE32-E72D297353CC}">
                <c16:uniqueId val="{00000013-E177-4E65-8171-AD46CA795738}"/>
              </c:ext>
            </c:extLst>
          </c:dPt>
          <c:dPt>
            <c:idx val="10"/>
            <c:bubble3D val="0"/>
            <c:spPr>
              <a:gradFill rotWithShape="1">
                <a:gsLst>
                  <a:gs pos="0">
                    <a:schemeClr val="accent4">
                      <a:lumMod val="80000"/>
                      <a:tint val="50000"/>
                      <a:satMod val="300000"/>
                    </a:schemeClr>
                  </a:gs>
                  <a:gs pos="35000">
                    <a:schemeClr val="accent4">
                      <a:lumMod val="80000"/>
                      <a:tint val="37000"/>
                      <a:satMod val="300000"/>
                    </a:schemeClr>
                  </a:gs>
                  <a:gs pos="100000">
                    <a:schemeClr val="accent4">
                      <a:lumMod val="80000"/>
                      <a:tint val="15000"/>
                      <a:satMod val="350000"/>
                    </a:schemeClr>
                  </a:gs>
                </a:gsLst>
                <a:lin ang="16200000" scaled="1"/>
              </a:gradFill>
              <a:ln>
                <a:noFill/>
              </a:ln>
              <a:effectLst>
                <a:outerShdw blurRad="40000" dist="20000" dir="5400000" rotWithShape="0">
                  <a:srgbClr val="000000">
                    <a:alpha val="38000"/>
                  </a:srgbClr>
                </a:outerShdw>
              </a:effectLst>
              <a:sp3d/>
            </c:spPr>
            <c:extLst>
              <c:ext xmlns:c16="http://schemas.microsoft.com/office/drawing/2014/chart" uri="{C3380CC4-5D6E-409C-BE32-E72D297353CC}">
                <c16:uniqueId val="{00000015-E177-4E65-8171-AD46CA795738}"/>
              </c:ext>
            </c:extLst>
          </c:dPt>
          <c:dLbls>
            <c:dLbl>
              <c:idx val="0"/>
              <c:layout>
                <c:manualLayout>
                  <c:x val="-2.4537065171153564E-2"/>
                  <c:y val="0.1011988949203864"/>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177-4E65-8171-AD46CA795738}"/>
                </c:ext>
              </c:extLst>
            </c:dLbl>
            <c:dLbl>
              <c:idx val="1"/>
              <c:layout>
                <c:manualLayout>
                  <c:x val="-5.1991364916210168E-2"/>
                  <c:y val="9.190276852205306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177-4E65-8171-AD46CA795738}"/>
                </c:ext>
              </c:extLst>
            </c:dLbl>
            <c:dLbl>
              <c:idx val="2"/>
              <c:layout>
                <c:manualLayout>
                  <c:x val="-0.13455730533683288"/>
                  <c:y val="5.702974628171478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E177-4E65-8171-AD46CA795738}"/>
                </c:ext>
              </c:extLst>
            </c:dLbl>
            <c:dLbl>
              <c:idx val="3"/>
              <c:layout>
                <c:manualLayout>
                  <c:x val="-3.812766232089964E-3"/>
                  <c:y val="-3.0280130349359613E-2"/>
                </c:manualLayout>
              </c:layout>
              <c:tx>
                <c:rich>
                  <a:bodyPr/>
                  <a:lstStyle/>
                  <a:p>
                    <a:fld id="{F8F74574-F39D-4F3B-B509-E7A9160C568F}" type="CATEGORYNAME">
                      <a:rPr lang="en-US"/>
                      <a:pPr/>
                      <a:t>[CATEGORY NAME]</a:t>
                    </a:fld>
                    <a:r>
                      <a:rPr lang="en-US" baseline="0"/>
                      <a:t>
</a:t>
                    </a:r>
                    <a:fld id="{597F37B0-BE36-4B3B-A2E6-FC95B6DBE006}" type="VALUE">
                      <a:rPr lang="en-US" baseline="0"/>
                      <a:pPr/>
                      <a:t>[VALUE]</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layout>
                    <c:manualLayout>
                      <c:w val="0.10325394776472613"/>
                      <c:h val="0.10912078882497943"/>
                    </c:manualLayout>
                  </c15:layout>
                  <c15:dlblFieldTable/>
                  <c15:showDataLabelsRange val="0"/>
                </c:ext>
                <c:ext xmlns:c16="http://schemas.microsoft.com/office/drawing/2014/chart" uri="{C3380CC4-5D6E-409C-BE32-E72D297353CC}">
                  <c16:uniqueId val="{00000007-E177-4E65-8171-AD46CA795738}"/>
                </c:ext>
              </c:extLst>
            </c:dLbl>
            <c:dLbl>
              <c:idx val="4"/>
              <c:layout>
                <c:manualLayout>
                  <c:x val="-0.15825816701247528"/>
                  <c:y val="-0.19662394296029348"/>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E177-4E65-8171-AD46CA795738}"/>
                </c:ext>
              </c:extLst>
            </c:dLbl>
            <c:dLbl>
              <c:idx val="5"/>
              <c:layout>
                <c:manualLayout>
                  <c:x val="-8.9903618605051416E-2"/>
                  <c:y val="-0.35524125630557479"/>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E177-4E65-8171-AD46CA795738}"/>
                </c:ext>
              </c:extLst>
            </c:dLbl>
            <c:dLbl>
              <c:idx val="6"/>
              <c:layout>
                <c:manualLayout>
                  <c:x val="-9.8493233940019798E-2"/>
                  <c:y val="-0.26925381245996677"/>
                </c:manualLayout>
              </c:layout>
              <c:numFmt formatCode="0.00%" sourceLinked="0"/>
              <c:spPr>
                <a:noFill/>
                <a:ln>
                  <a:noFill/>
                </a:ln>
                <a:effectLst/>
              </c:spPr>
              <c:txPr>
                <a:bodyPr rot="0" spcFirstLastPara="1" vertOverflow="ellipsis" vert="horz" wrap="square" lIns="38100" tIns="19050" rIns="38100" bIns="19050" anchor="ctr" anchorCtr="1">
                  <a:noAutofit/>
                </a:bodyPr>
                <a:lstStyle/>
                <a:p>
                  <a:pPr>
                    <a:defRPr sz="600" b="0" i="0" u="none" strike="noStrike" kern="1200" baseline="0">
                      <a:solidFill>
                        <a:schemeClr val="tx1">
                          <a:lumMod val="65000"/>
                          <a:lumOff val="35000"/>
                        </a:schemeClr>
                      </a:solidFill>
                      <a:latin typeface="Arial Black" panose="020B0A04020102020204" pitchFamily="34" charset="0"/>
                      <a:ea typeface="+mn-ea"/>
                      <a:cs typeface="+mn-cs"/>
                    </a:defRPr>
                  </a:pPr>
                  <a:endParaRPr lang="pt-PT"/>
                </a:p>
              </c:txPr>
              <c:dLblPos val="bestFit"/>
              <c:showLegendKey val="0"/>
              <c:showVal val="0"/>
              <c:showCatName val="1"/>
              <c:showSerName val="0"/>
              <c:showPercent val="1"/>
              <c:showBubbleSize val="0"/>
              <c:extLst>
                <c:ext xmlns:c15="http://schemas.microsoft.com/office/drawing/2012/chart" uri="{CE6537A1-D6FC-4f65-9D91-7224C49458BB}">
                  <c15:layout>
                    <c:manualLayout>
                      <c:w val="0.12495406100698273"/>
                      <c:h val="0.12555464256368118"/>
                    </c:manualLayout>
                  </c15:layout>
                </c:ext>
                <c:ext xmlns:c16="http://schemas.microsoft.com/office/drawing/2014/chart" uri="{C3380CC4-5D6E-409C-BE32-E72D297353CC}">
                  <c16:uniqueId val="{0000000D-E177-4E65-8171-AD46CA795738}"/>
                </c:ext>
              </c:extLst>
            </c:dLbl>
            <c:dLbl>
              <c:idx val="7"/>
              <c:layout>
                <c:manualLayout>
                  <c:x val="3.4139255195085177E-2"/>
                  <c:y val="-0.2910051609202096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E177-4E65-8171-AD46CA795738}"/>
                </c:ext>
              </c:extLst>
            </c:dLbl>
            <c:dLbl>
              <c:idx val="8"/>
              <c:layout>
                <c:manualLayout>
                  <c:x val="9.2913654748074517E-2"/>
                  <c:y val="-0.2523812912868226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E177-4E65-8171-AD46CA795738}"/>
                </c:ext>
              </c:extLst>
            </c:dLbl>
            <c:dLbl>
              <c:idx val="9"/>
              <c:layout>
                <c:manualLayout>
                  <c:x val="0.27243110597944831"/>
                  <c:y val="3.691621538269097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3-E177-4E65-8171-AD46CA795738}"/>
                </c:ext>
              </c:extLst>
            </c:dLbl>
            <c:dLbl>
              <c:idx val="10"/>
              <c:layout>
                <c:manualLayout>
                  <c:x val="0.17133464711618876"/>
                  <c:y val="7.938327758331764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5-E177-4E65-8171-AD46CA795738}"/>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65000"/>
                        <a:lumOff val="35000"/>
                      </a:schemeClr>
                    </a:solidFill>
                    <a:latin typeface="Arial Black" panose="020B0A04020102020204" pitchFamily="34" charset="0"/>
                    <a:ea typeface="+mn-ea"/>
                    <a:cs typeface="+mn-cs"/>
                  </a:defRPr>
                </a:pPr>
                <a:endParaRPr lang="pt-PT"/>
              </a:p>
            </c:txPr>
            <c:dLblPos val="ctr"/>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Sheet1!$G$4:$G$13</c:f>
              <c:strCache>
                <c:ptCount val="10"/>
                <c:pt idx="0">
                  <c:v>10:00</c:v>
                </c:pt>
                <c:pt idx="1">
                  <c:v>12:00</c:v>
                </c:pt>
                <c:pt idx="2">
                  <c:v>14:00</c:v>
                </c:pt>
                <c:pt idx="3">
                  <c:v>14:01</c:v>
                </c:pt>
                <c:pt idx="4">
                  <c:v>16:00</c:v>
                </c:pt>
                <c:pt idx="5">
                  <c:v>16:1w9</c:v>
                </c:pt>
                <c:pt idx="6">
                  <c:v>18:00</c:v>
                </c:pt>
                <c:pt idx="7">
                  <c:v>18:1w9</c:v>
                </c:pt>
                <c:pt idx="8">
                  <c:v>18:2w6</c:v>
                </c:pt>
                <c:pt idx="9">
                  <c:v>22:6w3</c:v>
                </c:pt>
              </c:strCache>
            </c:strRef>
          </c:cat>
          <c:val>
            <c:numRef>
              <c:f>Sheet1!$H$4:$H$13</c:f>
              <c:numCache>
                <c:formatCode>0.0</c:formatCode>
                <c:ptCount val="10"/>
                <c:pt idx="0">
                  <c:v>1.7</c:v>
                </c:pt>
                <c:pt idx="1">
                  <c:v>5.9</c:v>
                </c:pt>
                <c:pt idx="2">
                  <c:v>14.9</c:v>
                </c:pt>
                <c:pt idx="3">
                  <c:v>0.4</c:v>
                </c:pt>
                <c:pt idx="4">
                  <c:v>20.8</c:v>
                </c:pt>
                <c:pt idx="5">
                  <c:v>1.3</c:v>
                </c:pt>
                <c:pt idx="6">
                  <c:v>1.2</c:v>
                </c:pt>
                <c:pt idx="7">
                  <c:v>10.7</c:v>
                </c:pt>
                <c:pt idx="8">
                  <c:v>4.9000000000000004</c:v>
                </c:pt>
                <c:pt idx="9">
                  <c:v>38.299999999999997</c:v>
                </c:pt>
              </c:numCache>
            </c:numRef>
          </c:val>
          <c:extLst>
            <c:ext xmlns:c16="http://schemas.microsoft.com/office/drawing/2014/chart" uri="{C3380CC4-5D6E-409C-BE32-E72D297353CC}">
              <c16:uniqueId val="{00000016-E177-4E65-8171-AD46CA795738}"/>
            </c:ext>
          </c:extLst>
        </c:ser>
        <c:dLbls>
          <c:dLblPos val="ctr"/>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pt-PT"/>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BE3AB-AA22-4858-A598-4C35FBF41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3757</Words>
  <Characters>20288</Characters>
  <Application>Microsoft Office Word</Application>
  <DocSecurity>0</DocSecurity>
  <Lines>169</Lines>
  <Paragraphs>47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Patricia Moniz</cp:lastModifiedBy>
  <cp:revision>2</cp:revision>
  <cp:lastPrinted>2015-05-12T18:31:00Z</cp:lastPrinted>
  <dcterms:created xsi:type="dcterms:W3CDTF">2022-03-31T20:28:00Z</dcterms:created>
  <dcterms:modified xsi:type="dcterms:W3CDTF">2022-03-31T20:28:00Z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